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32"/>
          <w:szCs w:val="32"/>
        </w:rPr>
        <w:t>TOM I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PROJEKT BUDOWLANY ZAGOSPODAROWANIA TERENU</w:t>
      </w:r>
    </w:p>
    <w:tbl>
      <w:tblPr>
        <w:tblW w:w="10198" w:type="dxa"/>
        <w:jc w:val="left"/>
        <w:tblInd w:w="-318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1416"/>
        <w:gridCol w:w="1545"/>
        <w:gridCol w:w="3157"/>
        <w:gridCol w:w="2041"/>
        <w:gridCol w:w="2039"/>
      </w:tblGrid>
      <w:tr>
        <w:trPr>
          <w:trHeight w:val="700" w:hRule="atLeast"/>
        </w:trPr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INWESTOR</w:t>
            </w:r>
          </w:p>
        </w:tc>
        <w:tc>
          <w:tcPr>
            <w:tcW w:w="7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GMINA MIASTO NOWY TARG</w:t>
            </w:r>
          </w:p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UL. KRZYWA 1, 34-400 NOWY TARG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color w:val="000000"/>
                <w:kern w:val="0"/>
                <w:sz w:val="22"/>
                <w:szCs w:val="22"/>
                <w:lang w:eastAsia="en-US" w:bidi="ar-SA"/>
              </w:rPr>
              <w:t>JEDNOSTKA PROJEKTOWA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APA ARCHES SP. Z O.O. SP. K.</w:t>
            </w:r>
          </w:p>
          <w:p>
            <w:pPr>
              <w:pStyle w:val="Normal"/>
              <w:widowControl w:val="false"/>
              <w:shd w:val="clear" w:color="auto" w:fill="FFFFFF"/>
              <w:snapToGrid w:val="false"/>
              <w:rPr>
                <w:rFonts w:eastAsia="Calibri"/>
                <w:b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UL. JAWORNICKA 8/229, 60-161 POZNAŃ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NAZWA ZAMIERZENIA BUDOWLANEGO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eastAsia="Arial"/>
                <w:b/>
                <w:b/>
                <w:caps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caps/>
                <w:color w:val="000000"/>
                <w:kern w:val="0"/>
                <w:sz w:val="20"/>
                <w:szCs w:val="20"/>
                <w:lang w:eastAsia="en-US" w:bidi="ar-SA"/>
              </w:rPr>
              <w:t>ROZBUDOWA I PRZEBUDOWA ISTNIEJĄCEGO BUDYNKU SZKOŁY PODSTAWOWEJ NR 2 O SALĘ GIMNASTYCZNĄ Z ZAPLECZEM WRAZ Z NIEZBĘDNĄ INFRASTRUKTURĄ TECHNICZNĄ I ZAGOSPODAROWANIEM TERENU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ADRES I KATEGORIA OBIEKTU BUDOWLANEGO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Miasto: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 xml:space="preserve"> 34-400 Nowy Targ</w:t>
            </w:r>
          </w:p>
          <w:p>
            <w:pPr>
              <w:pStyle w:val="Normal"/>
              <w:widowControl w:val="false"/>
              <w:snapToGrid w:val="false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Ulica: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 xml:space="preserve"> al. Mikołaja Kopernika 28</w:t>
            </w:r>
          </w:p>
          <w:p>
            <w:pPr>
              <w:pStyle w:val="Normal"/>
              <w:widowControl w:val="false"/>
              <w:snapToGrid w:val="false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bCs/>
                <w:color w:val="000000"/>
                <w:kern w:val="0"/>
                <w:sz w:val="20"/>
                <w:szCs w:val="20"/>
                <w:lang w:eastAsia="en-US" w:bidi="ar-SA"/>
              </w:rPr>
              <w:t>Kategoria obiektu budowlanego: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 xml:space="preserve"> IX i XV</w:t>
            </w:r>
          </w:p>
        </w:tc>
      </w:tr>
      <w:tr>
        <w:trPr>
          <w:trHeight w:val="700" w:hRule="atLeast"/>
        </w:trPr>
        <w:tc>
          <w:tcPr>
            <w:tcW w:w="29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Calibri" w:cs="Arial"/>
                <w:b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Calibri" w:hAnsi="Calibri"/>
                <w:b/>
                <w:kern w:val="0"/>
                <w:sz w:val="20"/>
                <w:szCs w:val="20"/>
                <w:lang w:eastAsia="en-US" w:bidi="ar-SA"/>
              </w:rPr>
              <w:t>POZOSTAŁE DANE ADRESOWE</w:t>
            </w:r>
          </w:p>
        </w:tc>
        <w:tc>
          <w:tcPr>
            <w:tcW w:w="7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  <w:lang w:eastAsia="en-US" w:bidi="ar-SA"/>
              </w:rPr>
              <w:t xml:space="preserve">Nazwa jednostki ewidencyjnej: </w:t>
            </w:r>
            <w:r>
              <w:rPr>
                <w:rFonts w:eastAsia="Arial" w:cs="Calibri"/>
                <w:sz w:val="20"/>
                <w:szCs w:val="20"/>
                <w:lang w:eastAsia="ar-SA" w:bidi="ar-SA"/>
              </w:rPr>
              <w:t>221101_1 Nowy Targ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ar-SA"/>
              </w:rPr>
              <w:t xml:space="preserve">Nazwa i numer obrębu ewidencyjnego: </w:t>
            </w:r>
            <w:r>
              <w:rPr>
                <w:rFonts w:cs="Calibri"/>
                <w:sz w:val="20"/>
                <w:szCs w:val="20"/>
                <w:lang w:eastAsia="ar-SA"/>
              </w:rPr>
              <w:t>0001 Nowy Targ</w:t>
            </w:r>
          </w:p>
          <w:p>
            <w:pPr>
              <w:pStyle w:val="Normal"/>
              <w:widowControl w:val="false"/>
              <w:rPr>
                <w:color w:val="000000"/>
                <w:sz w:val="20"/>
                <w:szCs w:val="20"/>
                <w:lang w:eastAsia="en-US" w:bidi="ar-SA"/>
              </w:rPr>
            </w:pPr>
            <w:r>
              <w:rPr>
                <w:rFonts w:eastAsia="Arial"/>
                <w:b/>
                <w:bCs/>
                <w:color w:val="000000"/>
                <w:sz w:val="20"/>
                <w:szCs w:val="20"/>
                <w:lang w:eastAsia="en-US" w:bidi="ar-SA"/>
              </w:rPr>
              <w:t xml:space="preserve">Numery działek ewidencyjnych: </w:t>
            </w:r>
            <w:r>
              <w:rPr>
                <w:rFonts w:eastAsia="Arial"/>
                <w:color w:val="000000"/>
                <w:kern w:val="0"/>
                <w:sz w:val="20"/>
                <w:szCs w:val="20"/>
                <w:lang w:eastAsia="en-US" w:bidi="ar-SA"/>
              </w:rPr>
              <w:t>13219/1, 13220/6, 13220/1</w:t>
            </w:r>
          </w:p>
        </w:tc>
      </w:tr>
      <w:tr>
        <w:trPr>
          <w:trHeight w:val="493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ZESPÓŁ AUTORSKI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IMIĘ I NAZWISKO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SPECJALNOŚĆ I NUMER UPRAWNIEŃ BUDOWLANYCH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ZAKRES OPRACOWANIA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PODPIS</w:t>
            </w:r>
          </w:p>
        </w:tc>
      </w:tr>
      <w:tr>
        <w:trPr>
          <w:trHeight w:val="960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 arch.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Joanna Marta Mazepa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10/WPOKK/2012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eastAsia="en-US" w:bidi="ar-SA"/>
              </w:rPr>
              <w:t>projektowanie w specjalności architektonicznej bez ograniczeń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kern w:val="0"/>
                <w:sz w:val="17"/>
                <w:szCs w:val="17"/>
                <w:lang w:eastAsia="en-US" w:bidi="ar-SA"/>
              </w:rPr>
              <w:t>Architektura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 arch.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Jarosław Bajer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7131/52/P/2001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projektowanie w specjalności architektonicznej bez ograniczeń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kern w:val="0"/>
                <w:sz w:val="17"/>
                <w:szCs w:val="17"/>
                <w:lang w:eastAsia="en-US" w:bidi="ar-SA"/>
              </w:rPr>
              <w:t>Architektura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Maciej Kaleta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WKP/0210/POOK/04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Krzysztof  Węglewski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WKP/0016/POOK/16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bookmarkStart w:id="0" w:name="_GoBack2"/>
            <w:bookmarkEnd w:id="0"/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Michał Kapka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WKP/0169/POOE/12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instalacyjnej w zakresie sieci, instalacji i urządzeń elektrycznych i elektroenergetycznych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elektryczne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Michał Wincenciak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WKP/0136/PWOE/21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instalacyjnej w zakresie sieci, instalacji i urządzeń elektrycznych i elektroenergetycznych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elektryczne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Albert Smucerowicz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WKP/0153/PWOS/12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kern w:val="0"/>
                <w:sz w:val="17"/>
                <w:szCs w:val="17"/>
                <w:lang w:eastAsia="en-US" w:bidi="ar-SA"/>
              </w:rPr>
              <w:t>Instalacje sanitarne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Radosław Dziubczyński</w:t>
            </w:r>
          </w:p>
        </w:tc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WKP/0359/PWOS/09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kern w:val="0"/>
                <w:sz w:val="17"/>
                <w:szCs w:val="17"/>
                <w:lang w:eastAsia="en-US" w:bidi="ar-SA"/>
              </w:rPr>
              <w:t>Instalacje sanitarne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8.03.2023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OŚWIADCZENIE O SPORZĄDZENIU PROJEKTU BUDOWLANEGO </w:t>
      </w:r>
      <w:r>
        <w:rPr>
          <w:rFonts w:eastAsia="Calibri" w:cs="" w:cstheme="minorBidi" w:eastAsiaTheme="minorHAnsi"/>
          <w:b/>
          <w:kern w:val="0"/>
          <w:sz w:val="24"/>
          <w:szCs w:val="24"/>
          <w:lang w:eastAsia="en-US" w:bidi="ar-SA"/>
        </w:rPr>
        <w:t xml:space="preserve">ZAGOSPODAROWANIA TERENU </w:t>
      </w:r>
      <w:r>
        <w:rPr>
          <w:b/>
          <w:sz w:val="24"/>
          <w:szCs w:val="24"/>
        </w:rPr>
        <w:t xml:space="preserve">ZGODNIE Z ART.  </w:t>
      </w:r>
      <w:r>
        <w:rPr>
          <w:rFonts w:eastAsia="Calibri" w:cs="" w:cstheme="minorBidi" w:eastAsiaTheme="minorHAnsi"/>
          <w:b/>
          <w:kern w:val="0"/>
          <w:sz w:val="24"/>
          <w:szCs w:val="24"/>
          <w:lang w:eastAsia="en-US" w:bidi="ar-SA"/>
        </w:rPr>
        <w:t>34</w:t>
      </w:r>
      <w:r>
        <w:rPr>
          <w:b/>
          <w:sz w:val="24"/>
          <w:szCs w:val="24"/>
        </w:rPr>
        <w:t xml:space="preserve"> UST. 3D PKT 3 USTAWY PRAWO BUDOWLANE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left="-454" w:hanging="0"/>
        <w:jc w:val="both"/>
        <w:rPr/>
      </w:pPr>
      <w:r>
        <w:rPr>
          <w:rFonts w:eastAsia="Arial"/>
          <w:b/>
          <w:caps/>
          <w:color w:val="000000"/>
          <w:kern w:val="0"/>
          <w:sz w:val="22"/>
          <w:szCs w:val="22"/>
          <w:lang w:eastAsia="en-US" w:bidi="ar-SA"/>
        </w:rPr>
        <w:t>PROJEKT BUDOWLANY: ROZBUDOWA  I PRZEBUDOWA ISTNIEJĄCEGO BUDYNKU SZKOŁY PODSTAWOWEJ NR 2 O SALĘ GIMNASTYCZNĄ Z ZAPLECZEM WRAZ Z NIEZBĘDNĄ INFRASTRUKTURĄ TECHNICZNĄ I ZAGOSPODAROWANIEM TERENU</w:t>
      </w:r>
    </w:p>
    <w:p>
      <w:pPr>
        <w:pStyle w:val="Normal"/>
        <w:ind w:left="-454" w:hanging="0"/>
        <w:rPr/>
      </w:pPr>
      <w:r>
        <w:rPr/>
      </w:r>
    </w:p>
    <w:p>
      <w:pPr>
        <w:pStyle w:val="Normal"/>
        <w:ind w:left="-454" w:hanging="0"/>
        <w:rPr/>
      </w:pPr>
      <w:r>
        <w:rPr>
          <w:rFonts w:eastAsia="Arial"/>
          <w:b/>
          <w:bCs/>
          <w:kern w:val="0"/>
          <w:sz w:val="22"/>
          <w:szCs w:val="22"/>
          <w:lang w:eastAsia="en-US" w:bidi="ar-SA"/>
        </w:rPr>
        <w:t xml:space="preserve">Nazwa jednostki ewidencyjnej: </w:t>
      </w:r>
      <w:r>
        <w:rPr>
          <w:rFonts w:eastAsia="Arial"/>
          <w:kern w:val="0"/>
          <w:sz w:val="22"/>
          <w:szCs w:val="22"/>
          <w:lang w:eastAsia="en-US" w:bidi="ar-SA"/>
        </w:rPr>
        <w:t>221101_1 Nowy Targ</w:t>
      </w:r>
    </w:p>
    <w:p>
      <w:pPr>
        <w:pStyle w:val="Normal"/>
        <w:ind w:left="-454" w:hanging="0"/>
        <w:rPr/>
      </w:pPr>
      <w:r>
        <w:rPr>
          <w:rFonts w:eastAsia="Arial"/>
          <w:b/>
          <w:bCs/>
          <w:color w:val="000000"/>
          <w:kern w:val="0"/>
          <w:sz w:val="22"/>
          <w:szCs w:val="22"/>
          <w:lang w:eastAsia="en-US" w:bidi="ar-SA"/>
        </w:rPr>
        <w:t xml:space="preserve">Nazwa i numer obrębu ewidencyjnego: </w:t>
      </w:r>
      <w:r>
        <w:rPr>
          <w:rFonts w:eastAsia="Arial"/>
          <w:color w:val="000000"/>
          <w:kern w:val="0"/>
          <w:sz w:val="22"/>
          <w:szCs w:val="22"/>
          <w:lang w:eastAsia="en-US" w:bidi="ar-SA"/>
        </w:rPr>
        <w:t>0001 Nowy Targ</w:t>
      </w:r>
    </w:p>
    <w:p>
      <w:pPr>
        <w:pStyle w:val="Normal"/>
        <w:ind w:left="-454" w:hanging="0"/>
        <w:rPr/>
      </w:pPr>
      <w:r>
        <w:rPr>
          <w:b/>
          <w:bCs/>
          <w:sz w:val="22"/>
          <w:szCs w:val="22"/>
        </w:rPr>
        <w:t>Numery działek ewidencyjnych</w:t>
      </w:r>
      <w:r>
        <w:rPr>
          <w:bCs/>
          <w:sz w:val="22"/>
          <w:szCs w:val="22"/>
        </w:rPr>
        <w:t xml:space="preserve">: </w:t>
      </w:r>
      <w:r>
        <w:rPr>
          <w:rFonts w:eastAsia="Arial"/>
          <w:color w:val="000000"/>
          <w:kern w:val="0"/>
          <w:sz w:val="22"/>
          <w:szCs w:val="22"/>
          <w:lang w:eastAsia="en-US" w:bidi="ar-SA"/>
        </w:rPr>
        <w:t>13219/1, 13220/6, 13220/1</w:t>
      </w:r>
    </w:p>
    <w:p>
      <w:pPr>
        <w:pStyle w:val="Normal"/>
        <w:ind w:left="-454" w:hanging="0"/>
        <w:rPr/>
      </w:pPr>
      <w:r>
        <w:rPr>
          <w:b/>
          <w:bCs/>
          <w:sz w:val="22"/>
          <w:szCs w:val="22"/>
        </w:rPr>
        <w:t xml:space="preserve">Projekt został wykonany zgodnie z obowiązującymi przepisami oraz zasadami wiedzy technicznej (art. 34 ust. 3d ustawy Prawo Budowlane – Dz. U. z 2021 r. poz. 2351 oraz z 2022 r. poz. 88). </w:t>
      </w:r>
    </w:p>
    <w:p>
      <w:pPr>
        <w:pStyle w:val="Normal"/>
        <w:ind w:left="-454" w:hanging="0"/>
        <w:rPr/>
      </w:pPr>
      <w:r>
        <w:rPr>
          <w:b/>
          <w:bCs/>
          <w:sz w:val="22"/>
          <w:szCs w:val="22"/>
        </w:rPr>
        <w:t>Projekt jest kompletny pod względem celu, któremu ma służyć.</w:t>
      </w:r>
    </w:p>
    <w:p>
      <w:pPr>
        <w:pStyle w:val="Normal"/>
        <w:ind w:left="-454" w:hanging="0"/>
        <w:rPr/>
      </w:pPr>
      <w:r>
        <w:rPr/>
      </w:r>
    </w:p>
    <w:tbl>
      <w:tblPr>
        <w:tblW w:w="10198" w:type="dxa"/>
        <w:jc w:val="left"/>
        <w:tblInd w:w="-318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1416"/>
        <w:gridCol w:w="1545"/>
        <w:gridCol w:w="2575"/>
        <w:gridCol w:w="2318"/>
        <w:gridCol w:w="2344"/>
      </w:tblGrid>
      <w:tr>
        <w:trPr>
          <w:trHeight w:val="493" w:hRule="atLeast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ZESPÓŁ AUTORSKI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IMIĘ I NAZWISKO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SPECJALNOŚĆ I NUMER UPRAWNIEŃ BUDOWLANYCH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ZAKRES OPRACOWANIA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PODPIS</w:t>
            </w:r>
          </w:p>
        </w:tc>
      </w:tr>
      <w:tr>
        <w:trPr>
          <w:trHeight w:val="960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 arch.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Joanna Marta Mazepa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10/WPOKK/2012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eastAsia="en-US" w:bidi="ar-SA"/>
              </w:rPr>
              <w:t>projektowanie w specjalności architektonicznej bez ograniczeń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kern w:val="0"/>
                <w:sz w:val="17"/>
                <w:szCs w:val="17"/>
                <w:lang w:eastAsia="en-US" w:bidi="ar-SA"/>
              </w:rPr>
              <w:t>Architektura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16</w:t>
            </w:r>
            <w:r>
              <w:rPr>
                <w:sz w:val="17"/>
                <w:szCs w:val="17"/>
              </w:rPr>
              <w:t>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 arch.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Jarosław Bajer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7131/52/P/2001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sz w:val="17"/>
                <w:szCs w:val="17"/>
              </w:rPr>
            </w:pPr>
            <w:r>
              <w:rPr>
                <w:rFonts w:eastAsia="Tahoma"/>
                <w:kern w:val="0"/>
                <w:sz w:val="17"/>
                <w:szCs w:val="17"/>
                <w:lang w:bidi="ar-SA"/>
              </w:rPr>
              <w:t>projektowanie w specjalności architektonicznej bez ograniczeń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kern w:val="0"/>
                <w:sz w:val="17"/>
                <w:szCs w:val="17"/>
                <w:lang w:eastAsia="en-US" w:bidi="ar-SA"/>
              </w:rPr>
              <w:t>Architektura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16</w:t>
            </w:r>
            <w:r>
              <w:rPr>
                <w:sz w:val="17"/>
                <w:szCs w:val="17"/>
              </w:rPr>
              <w:t>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Maciej Kaleta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WKP/0210/POOK/04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16</w:t>
            </w:r>
            <w:r>
              <w:rPr>
                <w:sz w:val="17"/>
                <w:szCs w:val="17"/>
              </w:rPr>
              <w:t>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Krzysztof  Węglewski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eastAsia="en-US" w:bidi="ar-SA"/>
              </w:rPr>
              <w:t>WKP/0016/POOK/16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bookmarkStart w:id="1" w:name="_GoBack22"/>
            <w:bookmarkEnd w:id="1"/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sz w:val="17"/>
                <w:szCs w:val="17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konstrukcyjno-budowlanej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Konstrukcja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16</w:t>
            </w:r>
            <w:r>
              <w:rPr>
                <w:sz w:val="17"/>
                <w:szCs w:val="17"/>
              </w:rPr>
              <w:t>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Michał Kapka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WKP/0169/POOE/12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instalacyjnej w zakresie sieci, instalacji i urządzeń elektrycznych i elektroenergetycznych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elektryczne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16</w:t>
            </w:r>
            <w:r>
              <w:rPr>
                <w:sz w:val="17"/>
                <w:szCs w:val="17"/>
              </w:rPr>
              <w:t>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sz w:val="17"/>
                <w:szCs w:val="17"/>
                <w:lang w:eastAsia="en-US" w:bidi="ar-SA"/>
              </w:rPr>
              <w:t>Michał Wincenciak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WKP/0136/PWOE/21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</w:pPr>
            <w:r>
              <w:rPr>
                <w:rFonts w:eastAsia="Tahoma"/>
                <w:color w:val="000000"/>
                <w:kern w:val="0"/>
                <w:sz w:val="17"/>
                <w:szCs w:val="17"/>
                <w:lang w:bidi="ar-SA"/>
              </w:rPr>
              <w:t>w specjalności instalacyjnej w zakresie sieci, instalacji i urządzeń elektrycznych i elektroenergetycznych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elektryczne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16</w:t>
            </w:r>
            <w:r>
              <w:rPr>
                <w:sz w:val="17"/>
                <w:szCs w:val="17"/>
              </w:rPr>
              <w:t>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Arial"/>
                <w:b/>
                <w:b/>
                <w:sz w:val="17"/>
                <w:szCs w:val="17"/>
              </w:rPr>
            </w:pPr>
            <w:r>
              <w:rPr>
                <w:rFonts w:eastAsia="Calibri" w:cs="Arial" w:ascii="Calibri" w:hAnsi="Calibri"/>
                <w:b/>
                <w:kern w:val="0"/>
                <w:sz w:val="17"/>
                <w:szCs w:val="17"/>
                <w:lang w:eastAsia="en-US" w:bidi="ar-SA"/>
              </w:rPr>
              <w:t>Projektant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Albert Smucerowicz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  <w:kern w:val="0"/>
                <w:lang w:bidi="ar-SA"/>
              </w:rPr>
              <w:t>WKP/0153/PWOS/12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  <w:kern w:val="0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  <w:kern w:val="0"/>
                <w:lang w:bidi="ar-SA"/>
              </w:rPr>
            </w:pPr>
            <w:r>
              <w:rPr>
                <w:rFonts w:eastAsia="Tahoma"/>
                <w:color w:val="000000"/>
                <w:kern w:val="0"/>
                <w:lang w:bidi="ar-SA"/>
              </w:rPr>
              <w:t>w specjalności instalacyjnej w zakresie sieci, instalacji urządzeń cieplnych, wentylacyjnych, gazowych, wodociągowych i kanalizacyjnych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sanitarne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16</w:t>
            </w:r>
            <w:r>
              <w:rPr>
                <w:sz w:val="17"/>
                <w:szCs w:val="17"/>
              </w:rPr>
              <w:t>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  <w:tr>
        <w:trPr>
          <w:trHeight w:val="974" w:hRule="atLeast"/>
        </w:trPr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Calibri"/>
                <w:b/>
                <w:kern w:val="0"/>
                <w:sz w:val="17"/>
                <w:szCs w:val="17"/>
                <w:lang w:eastAsia="en-US" w:bidi="ar-SA"/>
              </w:rPr>
              <w:t>Sprawdzający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mgr inż.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Calibri"/>
                <w:color w:val="000000"/>
                <w:kern w:val="0"/>
                <w:lang w:eastAsia="en-US" w:bidi="ar-SA"/>
              </w:rPr>
            </w:pPr>
            <w:r>
              <w:rPr>
                <w:rFonts w:eastAsia="Calibri"/>
                <w:color w:val="000000"/>
                <w:kern w:val="0"/>
                <w:lang w:eastAsia="en-US" w:bidi="ar-SA"/>
              </w:rPr>
              <w:t>Radosław Dziubczyński</w:t>
            </w:r>
          </w:p>
        </w:tc>
        <w:tc>
          <w:tcPr>
            <w:tcW w:w="25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  <w:kern w:val="0"/>
                <w:lang w:bidi="ar-SA"/>
              </w:rPr>
              <w:t>WKP/0359/PWOS/09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  <w:color w:val="000000"/>
              </w:rPr>
            </w:pPr>
            <w:r>
              <w:rPr>
                <w:rFonts w:eastAsia="Tahoma"/>
                <w:color w:val="000000"/>
                <w:kern w:val="0"/>
                <w:lang w:bidi="ar-SA"/>
              </w:rPr>
              <w:t>projektowanie bez ograniczeń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508" w:leader="none"/>
                <w:tab w:val="right" w:pos="9044" w:leader="none"/>
              </w:tabs>
              <w:snapToGrid w:val="false"/>
              <w:jc w:val="center"/>
              <w:rPr>
                <w:rFonts w:eastAsia="Tahoma"/>
              </w:rPr>
            </w:pPr>
            <w:r>
              <w:rPr>
                <w:rFonts w:eastAsia="Tahoma"/>
                <w:kern w:val="0"/>
                <w:lang w:bidi="ar-SA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Instalacje sanitarne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17"/>
                <w:szCs w:val="17"/>
              </w:rPr>
            </w:pP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16</w:t>
            </w:r>
            <w:r>
              <w:rPr>
                <w:sz w:val="17"/>
                <w:szCs w:val="17"/>
              </w:rPr>
              <w:t>.0</w:t>
            </w:r>
            <w:r>
              <w:rPr>
                <w:rFonts w:eastAsia="NSimSun" w:cs="Arial"/>
                <w:color w:val="auto"/>
                <w:kern w:val="2"/>
                <w:sz w:val="17"/>
                <w:szCs w:val="17"/>
                <w:lang w:val="pl-PL" w:eastAsia="zh-CN" w:bidi="hi-IN"/>
              </w:rPr>
              <w:t>6</w:t>
            </w:r>
            <w:r>
              <w:rPr>
                <w:sz w:val="17"/>
                <w:szCs w:val="17"/>
              </w:rPr>
              <w:t>.2023</w:t>
            </w:r>
          </w:p>
        </w:tc>
      </w:tr>
    </w:tbl>
    <w:p>
      <w:pPr>
        <w:pStyle w:val="Toaheading"/>
        <w:spacing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Nagwekspisutreci"/>
            <w:suppressLineNumbers/>
            <w:ind w:left="0" w:hanging="0"/>
            <w:rPr>
              <w:b/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>Spis treści</w:t>
          </w:r>
        </w:p>
        <w:p>
          <w:pPr>
            <w:pStyle w:val="Spistreci1"/>
            <w:tabs>
              <w:tab w:val="clear" w:pos="9355"/>
              <w:tab w:val="right" w:pos="9639" w:leader="dot"/>
            </w:tabs>
            <w:rPr/>
          </w:pPr>
          <w:r>
            <w:fldChar w:fldCharType="begin"/>
          </w:r>
          <w:r>
            <w:rPr>
              <w:rStyle w:val="Czeindeksu"/>
            </w:rPr>
            <w:instrText> TOC \f \o "1-9" \h</w:instrText>
          </w:r>
          <w:r>
            <w:rPr>
              <w:rStyle w:val="Czeindeksu"/>
            </w:rPr>
            <w:fldChar w:fldCharType="separate"/>
          </w:r>
          <w:hyperlink w:anchor="__RefHeading___Toc9054_691895806">
            <w:r>
              <w:rPr>
                <w:rStyle w:val="Czeindeksu"/>
              </w:rPr>
              <w:t xml:space="preserve">​ </w:t>
            </w:r>
            <w:r>
              <w:rPr>
                <w:rStyle w:val="Czeindeksu"/>
              </w:rPr>
              <w:t>I. CZĘŚĆ OPISOWA</w:t>
              <w:tab/>
              <w:t>4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56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  DANE EWIDENCYJNE</w:t>
              <w:tab/>
              <w:t>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58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1.1  Dane ewidencyjne</w:t>
              <w:tab/>
              <w:t>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60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1.2  Podstawa opracowania</w:t>
              <w:tab/>
              <w:t>4</w:t>
            </w:r>
          </w:hyperlink>
        </w:p>
        <w:p>
          <w:pPr>
            <w:pStyle w:val="Spistreci4"/>
            <w:tabs>
              <w:tab w:val="clear" w:pos="8506"/>
              <w:tab w:val="right" w:pos="9639" w:leader="dot"/>
            </w:tabs>
            <w:rPr/>
          </w:pPr>
          <w:hyperlink w:anchor="__RefHeading___Toc9062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1.2.1  Wytyczne projektowe</w:t>
              <w:tab/>
              <w:t>4</w:t>
            </w:r>
          </w:hyperlink>
        </w:p>
        <w:p>
          <w:pPr>
            <w:pStyle w:val="Spistreci4"/>
            <w:tabs>
              <w:tab w:val="clear" w:pos="8506"/>
              <w:tab w:val="right" w:pos="9639" w:leader="dot"/>
            </w:tabs>
            <w:rPr/>
          </w:pPr>
          <w:hyperlink w:anchor="__RefHeading___Toc906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1.2.2  Podstawy prawne</w:t>
              <w:tab/>
              <w:t>4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66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2  CEL OPRACOWANIA</w:t>
              <w:tab/>
              <w:t>5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16925_247779486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3  OKREŚLENIE PRZEDMIOTU ZAMIERZENIA BUDOWLANEGO</w:t>
              <w:tab/>
              <w:t>5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68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4  OKREŚLENIE ISTNIEJĄCEGO STANU TERENU I DZIAŁKI</w:t>
              <w:tab/>
              <w:t>5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70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5  PROJEKTOWANE ZAGOSPODAROWANIE TERENU LUB DZIAŁKI</w:t>
              <w:tab/>
              <w:t>5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52_1639221441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5.1  Utwardzenia dla pojazdów kołowych i dla pieszych.</w:t>
              <w:tab/>
              <w:t>5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72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  INFORMACJE I DANE</w:t>
              <w:tab/>
              <w:t>9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7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6.1  Bilans terenu</w:t>
              <w:tab/>
              <w:t>9</w:t>
            </w:r>
          </w:hyperlink>
        </w:p>
        <w:p>
          <w:pPr>
            <w:pStyle w:val="Spistreci4"/>
            <w:tabs>
              <w:tab w:val="clear" w:pos="8506"/>
              <w:tab w:val="right" w:pos="9639" w:leader="dot"/>
            </w:tabs>
            <w:rPr/>
          </w:pPr>
          <w:hyperlink w:anchor="__RefHeading___Toc9078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6.1.1  Zestawienie powierzchni – stan projektowanych</w:t>
              <w:tab/>
              <w:t>9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80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6.2  Obsługa komunikacyjna projektowanej inwestycji</w:t>
              <w:tab/>
              <w:t>9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82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6.3  Szata roślinna</w:t>
              <w:tab/>
              <w:t>9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8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6.4  Ograniczenia lub zakazów w zabudowie i zagospodarowaniu terenu wynikających z aktów prawa miejscowego lub decyzji o warunkach zabudowy i zagospodarowania terenu</w:t>
              <w:tab/>
              <w:t>10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86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7  OCHRONA KONSERWATORSKA</w:t>
              <w:tab/>
              <w:t>10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88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8  PRZEWIDYWANA ILOŚĆ WYKORZYSTYWANEJ WODY I INNYCH WYKORZYSTYWANYCH SUROWCÓW, MATERIAŁÓW, PALIW I ENERGII.</w:t>
              <w:tab/>
              <w:t>10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090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9  RODZAJ I PRZEWIDYWANA ILOŚĆ WPROWADZANYCH DO ŚRODOWISKA SUBSTANCJI LUB ENERGII PRZY ZASTOSOWANIU ROZWIĄZAŃ CHRONIĄCYCH ŚRODOWISKO</w:t>
              <w:tab/>
              <w:t>11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92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9.1  Wpływ eksploatacji górniczej na działkę lub teren zamierzenia budowlanego</w:t>
              <w:tab/>
              <w:t>11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09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9.2  Charakter, cechy istniejących i przewidywanych zagrożeń dla środowiska oraz higieny i zdrowia użytkowników projektowanych obiektów budowlanych i ich otoczenia w zakresie zgodnym z przepisami odrębnymi</w:t>
              <w:tab/>
              <w:t>11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12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10  INNE NIEZBĘDNE DANE WYNIKAJĄCE ZE SPECYFIKACJI, CHARAKTERU I STOPNIA SKOMPLIKOWANIA OBIEKTU BUDOWLANEGO LUB ROBÓT BUDOWLANYCH</w:t>
              <w:tab/>
              <w:t>12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126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10.1  Etapy przedsięwzięcia</w:t>
              <w:tab/>
              <w:t>12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128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10.2  Rozwiązania chroniące środowisko</w:t>
              <w:tab/>
              <w:t>12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9130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11  INFORMACJE O OBSZARZE ODDZIAŁYWANIA OBIEKTU</w:t>
              <w:tab/>
              <w:t>12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132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11.1  Wskazanie przepisów prawa w oparciu o które dokonano określenia obszaru oddziaływania obiektu</w:t>
              <w:tab/>
              <w:t>12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134_691895806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11.2  Zasięg obszaru oddziaływania obiektu</w:t>
              <w:tab/>
              <w:t>12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271_1293844344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11.3  Analiza zacienienia i przesłaniania dla obiektów na działkach sąsiednich</w:t>
              <w:tab/>
              <w:t>12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1273_1293844344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12  PRZYSTOSOWANIE OBIEKTU DO PORUSZANIA SIĘ OSÓB NIEPEŁNOSPRAWNYCH</w:t>
              <w:tab/>
              <w:t>12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1277_1293844344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  INSTALACJE SANITARNE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58_1639221441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13.1  Parametry techniczne sieci i urządzeń uzbrojenia terenu – kanalizacja sanitarna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28_1780923049">
            <w:r>
              <w:rPr>
                <w:rStyle w:val="Czeindeksu"/>
              </w:rPr>
              <w:t>Odbiornik ścieków sanitarnych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60_1639221441">
            <w:r>
              <w:rPr>
                <w:rStyle w:val="Czeindeksu"/>
              </w:rPr>
              <w:t>Kanały sanitarne grawitacyjne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5059_1715093656">
            <w:r>
              <w:rPr>
                <w:rStyle w:val="Czeindeksu"/>
              </w:rPr>
              <w:t>Studnie kanalizacyjne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62_1639221441">
            <w:r>
              <w:rPr>
                <w:rStyle w:val="Czeindeksu"/>
              </w:rPr>
              <w:t>Roboty ziemne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30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13.2  Parametry techniczne sieci i urządzeń uzbrojenia terenu – zewnętrzna instalacja wodociągowa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184_2432315680">
            <w:r>
              <w:rPr>
                <w:rStyle w:val="Czeindeksu"/>
              </w:rPr>
              <w:t>Opis rozwiązań</w:t>
              <w:tab/>
              <w:t>13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9186_2432315680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13.3  Parametry techniczne sieci i urządzeń uzbrojenia terenu – kanalizacja deszczowa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34_1780923049">
            <w:r>
              <w:rPr>
                <w:rStyle w:val="Czeindeksu"/>
              </w:rPr>
              <w:t>Opis rozwiązań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36_1780923049">
            <w:r>
              <w:rPr>
                <w:rStyle w:val="Czeindeksu"/>
              </w:rPr>
              <w:t>Rurociągi kanalizacyjne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38_1780923049">
            <w:r>
              <w:rPr>
                <w:rStyle w:val="Czeindeksu"/>
              </w:rPr>
              <w:t>Roboty ziemne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48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13.4  Instalacje wewnętrzne – instalacja wodociągowa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50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13.5  Instalacje wewnętrzne – instalacja kanalizacji sanitarnej</w:t>
              <w:tab/>
              <w:t>14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52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13.6  Instalacje wewnętrzne – instalacja grzewcza</w:t>
              <w:tab/>
              <w:t>15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754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13.7  Instalacje wewnętrzne – instalacja wentylacji</w:t>
              <w:tab/>
              <w:t>15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1756_1780923049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14  INSTALACJE ELEKTRYCZNE</w:t>
              <w:tab/>
              <w:t>15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70_1639221441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14.1  Parametry techniczne sieci i urządzeń uzbrojenia terenu</w:t>
              <w:tab/>
              <w:t>15</w:t>
            </w:r>
          </w:hyperlink>
        </w:p>
        <w:p>
          <w:pPr>
            <w:pStyle w:val="Spistreci3"/>
            <w:tabs>
              <w:tab w:val="clear" w:pos="8789"/>
              <w:tab w:val="right" w:pos="9639" w:leader="dot"/>
            </w:tabs>
            <w:rPr/>
          </w:pPr>
          <w:hyperlink w:anchor="__RefHeading___Toc10172_1639221441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14.2  Dane dotyczące warunków ochrony przeciwpożarowej, stosownie do zakresu projektu</w:t>
              <w:tab/>
              <w:t>15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4861_1300367101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15  SPRAWDZENIA</w:t>
              <w:tab/>
              <w:t>16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1281_1293844344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16  UWAGI KOŃCOWE</w:t>
              <w:tab/>
              <w:t>16</w:t>
            </w:r>
          </w:hyperlink>
        </w:p>
        <w:p>
          <w:pPr>
            <w:pStyle w:val="Spistreci2"/>
            <w:tabs>
              <w:tab w:val="clear" w:pos="9072"/>
              <w:tab w:val="right" w:pos="9639" w:leader="dot"/>
            </w:tabs>
            <w:rPr/>
          </w:pPr>
          <w:hyperlink w:anchor="__RefHeading___Toc10176_1639221441">
            <w:r>
              <w:rPr>
                <w:rStyle w:val="Czeindeksu"/>
              </w:rPr>
              <w:t xml:space="preserve"> </w:t>
            </w:r>
            <w:r>
              <w:rPr>
                <w:rStyle w:val="Czeindeksu"/>
              </w:rPr>
              <w:t>17  WARUNKI OCHRONY PRZECIWPOŻAROWEJ projektu zagospodarowania działki lub terenu</w:t>
              <w:tab/>
              <w:t>16</w:t>
            </w:r>
          </w:hyperlink>
        </w:p>
        <w:p>
          <w:pPr>
            <w:pStyle w:val="Spistreci1"/>
            <w:tabs>
              <w:tab w:val="clear" w:pos="9355"/>
              <w:tab w:val="right" w:pos="9639" w:leader="dot"/>
            </w:tabs>
            <w:rPr/>
          </w:pPr>
          <w:hyperlink w:anchor="__RefHeading___Toc9136_691895806">
            <w:r>
              <w:rPr>
                <w:rStyle w:val="Czeindeksu"/>
              </w:rPr>
              <w:t xml:space="preserve">​ </w:t>
            </w:r>
            <w:r>
              <w:rPr>
                <w:rStyle w:val="Czeindeksu"/>
              </w:rPr>
              <w:t>II. CZĘŚĆ RYSUNKOWA</w:t>
              <w:tab/>
              <w:t>18</w:t>
            </w:r>
          </w:hyperlink>
          <w:r>
            <w:rPr>
              <w:rStyle w:val="Czeindeksu"/>
            </w:rPr>
            <w:fldChar w:fldCharType="end"/>
          </w:r>
        </w:p>
        <w:p>
          <w:pPr>
            <w:sectPr>
              <w:footerReference w:type="default" r:id="rId2"/>
              <w:type w:val="nextPage"/>
              <w:pgSz w:w="11906" w:h="16838"/>
              <w:pgMar w:left="1417" w:right="850" w:header="0" w:top="850" w:footer="850" w:bottom="1353" w:gutter="0"/>
              <w:pgNumType w:start="1" w:fmt="decimal"/>
              <w:formProt w:val="false"/>
              <w:textDirection w:val="lrTb"/>
              <w:docGrid w:type="default" w:linePitch="100" w:charSpace="12288"/>
            </w:sectPr>
          </w:pPr>
        </w:p>
      </w:sdtContent>
    </w:sdt>
    <w:p>
      <w:pPr>
        <w:pStyle w:val="Tretekstu"/>
        <w:jc w:val="center"/>
        <w:rPr>
          <w:rFonts w:ascii="Calibri" w:hAnsi="Calibri"/>
        </w:rPr>
      </w:pPr>
      <w:r>
        <w:rPr>
          <w:rFonts w:ascii="Calibri" w:hAnsi="Calibri"/>
          <w:b/>
          <w:bCs/>
          <w:sz w:val="36"/>
          <w:szCs w:val="36"/>
        </w:rPr>
        <w:t>TOM I: PROJEKT ZAGOSPODAROWANIA TERENU</w:t>
      </w:r>
    </w:p>
    <w:p>
      <w:pPr>
        <w:pStyle w:val="Nagwek1"/>
        <w:rPr/>
      </w:pPr>
      <w:bookmarkStart w:id="2" w:name="__RefHeading___Toc9054_691895806"/>
      <w:bookmarkEnd w:id="2"/>
      <w:r>
        <w:rPr/>
        <w:t>I. CZĘŚĆ OPISOWA</w:t>
      </w:r>
    </w:p>
    <w:p>
      <w:pPr>
        <w:pStyle w:val="Tretekstu"/>
        <w:rPr>
          <w:rFonts w:ascii="Calibri" w:hAnsi="Calibri"/>
          <w:spacing w:val="-4"/>
          <w:sz w:val="18"/>
        </w:rPr>
      </w:pPr>
      <w:r>
        <w:rPr>
          <w:rFonts w:ascii="Calibri" w:hAnsi="Calibri"/>
          <w:spacing w:val="-4"/>
          <w:sz w:val="18"/>
        </w:rPr>
      </w:r>
    </w:p>
    <w:p>
      <w:pPr>
        <w:pStyle w:val="Nagwek2"/>
        <w:rPr/>
      </w:pPr>
      <w:bookmarkStart w:id="3" w:name="__RefHeading___Toc9056_691895806"/>
      <w:bookmarkEnd w:id="3"/>
      <w:r>
        <w:rPr/>
        <w:t>DANE EWIDENCYJNE</w:t>
      </w:r>
    </w:p>
    <w:p>
      <w:pPr>
        <w:pStyle w:val="Nagwek3"/>
        <w:rPr/>
      </w:pPr>
      <w:bookmarkStart w:id="4" w:name="__RefHeading___Toc9058_691895806"/>
      <w:bookmarkEnd w:id="4"/>
      <w:r>
        <w:rPr/>
        <w:t>Dane ewidencyjne</w:t>
      </w:r>
    </w:p>
    <w:p>
      <w:pPr>
        <w:pStyle w:val="Tretekstu"/>
        <w:numPr>
          <w:ilvl w:val="0"/>
          <w:numId w:val="2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Nazwa inwestycji</w:t>
      </w:r>
    </w:p>
    <w:p>
      <w:pPr>
        <w:pStyle w:val="Normal"/>
        <w:ind w:left="720" w:hanging="0"/>
        <w:jc w:val="both"/>
        <w:rPr/>
      </w:pPr>
      <w:r>
        <w:rPr>
          <w:rFonts w:eastAsia="Arial"/>
          <w:caps/>
          <w:color w:val="000000"/>
          <w:kern w:val="0"/>
          <w:sz w:val="20"/>
          <w:szCs w:val="20"/>
          <w:lang w:eastAsia="en-US" w:bidi="ar-SA"/>
        </w:rPr>
        <w:t>ROZBUDOWA  I PRZEBUDOWA ISTNIEJĄCEGO BUDYNKU SZKOŁY PODSTAWOWEJ NR 2 O SALĘ GIMNASTYCZNĄ Z ZAPLECZEM WRAZ Z NIEZBĘDNĄ INFRASTRUKTURĄ TECHNICZNĄ I ZAGOSPODAROWANIEM TERENU</w:t>
      </w:r>
    </w:p>
    <w:p>
      <w:pPr>
        <w:pStyle w:val="Tretekstu"/>
        <w:numPr>
          <w:ilvl w:val="0"/>
          <w:numId w:val="2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Adres inwestycji</w:t>
      </w:r>
    </w:p>
    <w:p>
      <w:pPr>
        <w:pStyle w:val="Normal"/>
        <w:rPr/>
      </w:pPr>
      <w:r>
        <w:rPr>
          <w:sz w:val="20"/>
          <w:szCs w:val="20"/>
        </w:rPr>
        <w:tab/>
        <w:t>al. Mikołaja Kopernika 28, 34-400 Nowy Targ</w:t>
      </w:r>
    </w:p>
    <w:p>
      <w:pPr>
        <w:pStyle w:val="Tretekstu"/>
        <w:spacing w:before="0" w:after="0"/>
        <w:rPr>
          <w:rFonts w:ascii="Calibri" w:hAnsi="Calibri"/>
        </w:rPr>
      </w:pPr>
      <w:r>
        <w:rPr>
          <w:rFonts w:ascii="Calibri" w:hAnsi="Calibri"/>
          <w:szCs w:val="20"/>
        </w:rPr>
        <w:tab/>
        <w:t>n</w:t>
      </w:r>
      <w:r>
        <w:rPr>
          <w:rFonts w:ascii="Calibri" w:hAnsi="Calibri"/>
          <w:color w:val="000000"/>
          <w:szCs w:val="20"/>
        </w:rPr>
        <w:t>umery działek ewidencyjnych: 13219/1, 13220/6, 13220/1; obręb: 0001 Nowy Targ</w:t>
      </w:r>
    </w:p>
    <w:p>
      <w:pPr>
        <w:pStyle w:val="Tretekstu"/>
        <w:numPr>
          <w:ilvl w:val="0"/>
          <w:numId w:val="2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Inwestor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ab/>
        <w:t>Gmina Miasto Nowy Targ</w:t>
      </w:r>
    </w:p>
    <w:p>
      <w:pPr>
        <w:pStyle w:val="Tretekstu"/>
        <w:spacing w:before="0" w:after="0"/>
        <w:rPr>
          <w:rFonts w:ascii="Calibri" w:hAnsi="Calibri"/>
        </w:rPr>
      </w:pPr>
      <w:r>
        <w:rPr>
          <w:rFonts w:ascii="Calibri" w:hAnsi="Calibri"/>
          <w:szCs w:val="20"/>
        </w:rPr>
        <w:tab/>
        <w:t>ul. Krzywa 1, 34-400 Nowy Targ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3"/>
        <w:rPr/>
      </w:pPr>
      <w:bookmarkStart w:id="5" w:name="__RefHeading___Toc9060_691895806"/>
      <w:bookmarkEnd w:id="5"/>
      <w:r>
        <w:rPr/>
        <w:t>Podstawa opracowania</w:t>
      </w:r>
    </w:p>
    <w:p>
      <w:pPr>
        <w:pStyle w:val="Nagwek4"/>
        <w:rPr/>
      </w:pPr>
      <w:bookmarkStart w:id="6" w:name="__RefHeading___Toc9062_691895806"/>
      <w:bookmarkEnd w:id="6"/>
      <w:r>
        <w:rPr/>
        <w:t>Wytyczne projektowe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Specyfikacja Istotnych Warunków Zamówienia.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Wizja lokalna i dokumentacja fotograficzna.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Inwentaryzacja terenu opracowania.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Ustalenia z Inwestorem.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Normy i przepisy prawa budowlanego.</w:t>
      </w:r>
    </w:p>
    <w:p>
      <w:pPr>
        <w:pStyle w:val="Tretekstu"/>
        <w:numPr>
          <w:ilvl w:val="0"/>
          <w:numId w:val="3"/>
        </w:numPr>
        <w:spacing w:before="0" w:after="0"/>
        <w:rPr>
          <w:rFonts w:ascii="Calibri" w:hAnsi="Calibri"/>
        </w:rPr>
      </w:pPr>
      <w:r>
        <w:rPr>
          <w:rFonts w:cs="Calibri" w:ascii="Calibri" w:hAnsi="Calibri"/>
          <w:szCs w:val="20"/>
        </w:rPr>
        <w:t>Zapytanie ofertowe.</w:t>
      </w:r>
    </w:p>
    <w:p>
      <w:pPr>
        <w:pStyle w:val="Nagwek4"/>
        <w:rPr/>
      </w:pPr>
      <w:bookmarkStart w:id="7" w:name="__RefHeading___Toc9064_691895806"/>
      <w:bookmarkEnd w:id="7"/>
      <w:r>
        <w:rPr/>
        <w:t>Podstawy prawne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Ustawa z dnia 07.07.1994 r. – Prawo Budowlane.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Rozporządzenie Ministra Infrastruktury z dnia 12 kwietnia 2002 r. w sprawie warunków technicznych, jakim powinny odpowiadać budynki i ich usytuowanie.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Rozporządzenie Ministra Transportu Budownictwa i Gospodarki Morskiej z dnia 11.09.2020 r. w sprawie szczegółowego zakresu i formy projektu budowlanego.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Rozporządzenie Ministra Infrastruktury z dnia 23.06.2003 r. w sprawie informacji dotyczącej bezpieczeństwa i ochrony zdrowia oraz planu bezpieczeństwa i ochrony zdrowia.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Rozporządzenie Ministra Pracy i Polityki Socjalnej z dnia 26.09.1997 r. w sprawie ogólnych przepisów bezpieczeństwa i higieny pracy.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Calibri"/>
          <w:sz w:val="20"/>
          <w:szCs w:val="20"/>
        </w:rPr>
        <w:t>Ustawa z dnia 27.04.2001 r. Prawo ochrony środowiska.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 xml:space="preserve">Ustawa z dnia </w:t>
      </w:r>
      <w:r>
        <w:rPr>
          <w:rFonts w:eastAsia="NSimSun" w:cs="Calibri"/>
          <w:b w:val="false"/>
          <w:color w:val="auto"/>
          <w:kern w:val="2"/>
          <w:sz w:val="20"/>
          <w:szCs w:val="20"/>
          <w:lang w:val="pl-PL" w:eastAsia="zh-CN" w:bidi="hi-IN"/>
        </w:rPr>
        <w:t>24</w:t>
      </w:r>
      <w:r>
        <w:rPr>
          <w:rFonts w:cs="Calibri"/>
          <w:sz w:val="20"/>
          <w:szCs w:val="20"/>
        </w:rPr>
        <w:t>.0</w:t>
      </w:r>
      <w:r>
        <w:rPr>
          <w:rFonts w:eastAsia="NSimSun" w:cs="Calibri"/>
          <w:b w:val="false"/>
          <w:color w:val="auto"/>
          <w:kern w:val="2"/>
          <w:sz w:val="20"/>
          <w:szCs w:val="20"/>
          <w:lang w:val="pl-PL" w:eastAsia="zh-CN" w:bidi="hi-IN"/>
        </w:rPr>
        <w:t>8</w:t>
      </w:r>
      <w:r>
        <w:rPr>
          <w:rFonts w:cs="Calibri"/>
          <w:sz w:val="20"/>
          <w:szCs w:val="20"/>
        </w:rPr>
        <w:t>.</w:t>
      </w:r>
      <w:r>
        <w:rPr>
          <w:rFonts w:eastAsia="NSimSun" w:cs="Calibri"/>
          <w:b w:val="false"/>
          <w:color w:val="auto"/>
          <w:kern w:val="2"/>
          <w:sz w:val="20"/>
          <w:szCs w:val="20"/>
          <w:lang w:val="pl-PL" w:eastAsia="zh-CN" w:bidi="hi-IN"/>
        </w:rPr>
        <w:t>1991</w:t>
      </w:r>
      <w:r>
        <w:rPr>
          <w:rFonts w:cs="Calibri"/>
          <w:sz w:val="20"/>
          <w:szCs w:val="20"/>
        </w:rPr>
        <w:t xml:space="preserve"> r. o ochronie przeciwpożarowej.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Rozporządzenie Ministra Spraw Wewnętrznych i Administracji z dnia 07.06.2010 r. w sprawie ochrony przeciwpożarowej budynków, innych obiektów budowlanych i terenów.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Rozporządzenie Ministra Spraw Wewnętrznych i Administracji z dnia 24.07.2009 r. w sprawie przeciwpożarowego zaopatrzenia w wodę oraz dróg pożarowych.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Ustawa z dnia 27.03.2003 r. o planowaniu i zagospodarowaniu przestrzennym.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Rozporządzenie Ministra Infrastruktury z dnia 02.09.2004 r. w sprawie szczegółowego zakresu i formy dokumentacji projektowej, specyfikacji technicznych wykonania i odbioru robót budowlanych oraz programu funkcjonalno-użytkowego.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Ustawa z dnia 17.09.2021 r. Ministra Spraw Wewnętrznych i Administracji w sprawie uzgadniania projektu zagospodarowania działki lub terenu, projektu architektoniczno-budowlanego, projektu technicznego orz projektu urządzenia przeciwpożarowego pod względem zgodności z wymaganiami ochrony przeciwpożarowej.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Ustawa z dnia 11.01.2018 r. o elektromobilności i paliwach alternatywnych</w:t>
      </w:r>
    </w:p>
    <w:p>
      <w:pPr>
        <w:pStyle w:val="Normal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cs="Calibri"/>
          <w:sz w:val="20"/>
          <w:szCs w:val="20"/>
        </w:rPr>
        <w:t>Aktualna mapa do celów projektowych.</w:t>
      </w:r>
    </w:p>
    <w:p>
      <w:pPr>
        <w:pStyle w:val="Normal"/>
        <w:numPr>
          <w:ilvl w:val="0"/>
          <w:numId w:val="3"/>
        </w:numPr>
        <w:bidi w:val="0"/>
        <w:spacing w:lineRule="auto" w:line="240" w:before="0" w:after="0"/>
        <w:jc w:val="both"/>
        <w:rPr>
          <w:rFonts w:ascii="Calibri" w:hAnsi="Calibri"/>
        </w:rPr>
      </w:pPr>
      <w:r>
        <w:rPr>
          <w:rFonts w:cs="Calibri"/>
          <w:color w:val="000000"/>
          <w:sz w:val="20"/>
          <w:szCs w:val="20"/>
        </w:rPr>
        <w:t>Opinia geotechniczna.</w:t>
      </w:r>
    </w:p>
    <w:p>
      <w:pPr>
        <w:pStyle w:val="Normal"/>
        <w:numPr>
          <w:ilvl w:val="0"/>
          <w:numId w:val="3"/>
        </w:numPr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Uchwała XI/100/2019 Rady Miasta Nowy Targ z 29.07.2019 r. w sprawie uchwalenia miejscowego planu zagospodarowania przestrzennego Nowy Targ 34 (Spółdzielnie mieszkaniowe).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gwek2"/>
        <w:rPr/>
      </w:pPr>
      <w:bookmarkStart w:id="8" w:name="__RefHeading___Toc9066_691895806"/>
      <w:bookmarkEnd w:id="8"/>
      <w:r>
        <w:rPr/>
        <w:t>CEL OPRACOWANIA</w:t>
      </w:r>
    </w:p>
    <w:p>
      <w:pPr>
        <w:pStyle w:val="Tretekstu"/>
        <w:rPr/>
      </w:pPr>
      <w:r>
        <w:rPr>
          <w:rFonts w:eastAsia="Microsoft YaHei" w:ascii="Calibri" w:hAnsi="Calibri"/>
          <w:szCs w:val="20"/>
        </w:rPr>
        <w:t>Celem opracowania jest docelowe przygotowanie projektu budowlanego oraz uzyskanie decyzji pozwolenia na budowę dla inwestycji objętej niniejszym projektem.</w:t>
      </w:r>
    </w:p>
    <w:p>
      <w:pPr>
        <w:pStyle w:val="Tretekstu"/>
        <w:jc w:val="left"/>
        <w:rPr>
          <w:rFonts w:ascii="Calibri" w:hAnsi="Calibri" w:eastAsia="Microsoft YaHei"/>
        </w:rPr>
      </w:pPr>
      <w:r>
        <w:rPr>
          <w:rFonts w:eastAsia="Microsoft YaHei" w:ascii="Calibri" w:hAnsi="Calibri"/>
        </w:rPr>
      </w:r>
    </w:p>
    <w:p>
      <w:pPr>
        <w:pStyle w:val="Nagwek2"/>
        <w:rPr/>
      </w:pPr>
      <w:bookmarkStart w:id="9" w:name="__RefHeading___Toc16925_2477794869"/>
      <w:bookmarkEnd w:id="9"/>
      <w:r>
        <w:rPr/>
        <w:t>OKREŚLENIE PRZEDMIOTU ZAMIERZENIA BUDOWLANEGO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u w:val="single"/>
        </w:rPr>
        <w:t>Projektowana rozbudowa budynku szkoły – sala gimnastyczna z zapleczem</w:t>
      </w:r>
    </w:p>
    <w:p>
      <w:pPr>
        <w:pStyle w:val="Tretekstu"/>
        <w:rPr/>
      </w:pPr>
      <w:r>
        <w:rPr>
          <w:rFonts w:ascii="Calibri" w:hAnsi="Calibri"/>
        </w:rPr>
        <w:t>Dwukondygnacyjny, na pierwszej kondygnacji znajduje się sala gimnastyczna o wymiarach 40,40x20,04 m, z możliwością podzielenia na dwie mniejsze (siatka oddzielająca), mieszcząca boiska: koszykówki (pełnowymiarowe), piłki siatkowej (pełnowymiarowe), piłki ręcznej/nożnej i i cztery tablice z koszami usytuowane w poprzek sali gimnastycznej. Dodatkowo na parterze znajdują się 4 szatnie wraz z sanitariatami (toalety i łaźnie z prysznicami) , w tym dwie przystosowana dla osób niepełnosprawnych oraz pomieszczenie porządkowe, kantorek nauczycielski, pomieszczenia techniczne, pomieszczenie magazynowe, toalety ogólnodostępne i toaletę przystosowaną dla osób niepełnosprawnych.</w:t>
      </w:r>
    </w:p>
    <w:p>
      <w:pPr>
        <w:pStyle w:val="Tretekstu"/>
        <w:rPr/>
      </w:pPr>
      <w:r>
        <w:rPr>
          <w:rFonts w:ascii="Calibri" w:hAnsi="Calibri"/>
        </w:rPr>
        <w:t>Na drugim piętrze znajdują się: świetlica, sala do ćwiczeń korekcyjnych, pom. porządkowe.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10" w:name="__RefHeading___Toc9068_691895806"/>
      <w:bookmarkEnd w:id="10"/>
      <w:r>
        <w:rPr/>
        <w:t>OKREŚLENIE ISTNIEJĄCEGO STANU TERENU I DZIAŁKI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 xml:space="preserve">W obrębie planowanej inwestycji działka ma kształt prostokąta, </w:t>
      </w:r>
      <w:r>
        <w:rPr>
          <w:rFonts w:ascii="Calibri" w:hAnsi="Calibri"/>
          <w:color w:val="000000"/>
        </w:rPr>
        <w:t>poziom terenu waha się od 597,16-597,38 m.n.p.m. w miejscu projektowanego budynku.</w:t>
      </w:r>
      <w:r>
        <w:rPr>
          <w:rFonts w:ascii="Calibri" w:hAnsi="Calibri"/>
          <w:color w:val="C9211E"/>
        </w:rPr>
        <w:t xml:space="preserve"> </w:t>
      </w:r>
      <w:r>
        <w:rPr>
          <w:rFonts w:ascii="Calibri" w:hAnsi="Calibri"/>
          <w:color w:val="000000"/>
        </w:rPr>
        <w:t>Działka posiada dostęp do dr</w:t>
      </w:r>
      <w:r>
        <w:rPr>
          <w:rFonts w:eastAsia="NSimSun" w:cs="Arial" w:ascii="Calibri" w:hAnsi="Calibri"/>
          <w:color w:val="000000"/>
          <w:kern w:val="2"/>
          <w:sz w:val="20"/>
          <w:szCs w:val="18"/>
          <w:lang w:val="pl-PL" w:eastAsia="zh-CN" w:bidi="hi-IN"/>
        </w:rPr>
        <w:t xml:space="preserve">óg publicznych. </w:t>
      </w:r>
      <w:r>
        <w:rPr>
          <w:rFonts w:eastAsia="NSimSun" w:cs="Arial" w:ascii="Calibri" w:hAnsi="Calibri"/>
          <w:color w:val="000000"/>
          <w:kern w:val="2"/>
          <w:sz w:val="20"/>
          <w:szCs w:val="20"/>
          <w:lang w:val="pl-PL" w:eastAsia="zh-CN" w:bidi="hi-IN"/>
        </w:rPr>
        <w:t>Obsługa komunikacyjna działki odbywa się projektowanym zjazdem z drogi publicznej ul. bocznej do al. Kopernika (K362643; dz. nr 13218/5 na dz. ewid. nr 13219/1) oraz 2 zjazdami z dróg publicznych ul. Stanisława Józefczaka:  istniejącym (K362635, dz. nr 13223/2 poprzez dz. ewid. nr 13219/2 i 13220/2) i projektowanym (K362635; dz. nr 13223/2 poprzez dz. ewid. nr 13219/2 i 13220/2).</w:t>
      </w:r>
    </w:p>
    <w:p>
      <w:pPr>
        <w:pStyle w:val="Tretekstu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Obszar jest obj</w:t>
      </w:r>
      <w:r>
        <w:rPr>
          <w:rFonts w:eastAsia="NSimSun" w:cs="Arial" w:ascii="Calibri" w:hAnsi="Calibri"/>
          <w:color w:val="000000"/>
          <w:kern w:val="2"/>
          <w:sz w:val="20"/>
          <w:szCs w:val="18"/>
          <w:lang w:val="pl-PL" w:eastAsia="zh-CN" w:bidi="hi-IN"/>
        </w:rPr>
        <w:t>ę</w:t>
      </w:r>
      <w:r>
        <w:rPr>
          <w:rFonts w:ascii="Calibri" w:hAnsi="Calibri"/>
          <w:color w:val="000000"/>
        </w:rPr>
        <w:t>ty obowiązującym miejscowym planem zagospodarowania przestrzennego: uchwała XI/100/2019 Rady Miasta Nowy Targ z 29.07.2019 r. w sprawie uchwalenia miejscowego planu zagospodarowania przestrzennego Nowy Targ 34 (Spółdzielnie mieszkaniowe)</w:t>
      </w:r>
    </w:p>
    <w:p>
      <w:pPr>
        <w:pStyle w:val="Tretekstu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Na przedmiotowym terenie znajdują się istniejące budynki szkoły, plac zabaw, boiska sportowe, drogi wewnętrzne, parkingi, chodniki, ogrodzenie oraz drzewa kolidujące z projektowaną inwestycją. </w:t>
      </w:r>
    </w:p>
    <w:p>
      <w:pPr>
        <w:pStyle w:val="Tretekstu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Nagwek2"/>
        <w:rPr/>
      </w:pPr>
      <w:bookmarkStart w:id="11" w:name="__RefHeading___Toc9070_691895806"/>
      <w:bookmarkEnd w:id="11"/>
      <w:r>
        <w:rPr/>
        <w:t>PROJEKTOWANE ZAGOSPODAROWANIE TERENU LUB DZIAŁKI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szCs w:val="20"/>
        </w:rPr>
        <w:t xml:space="preserve">Przedmiotem zamówienia jest rozbudowa i przebudowa istniejącego budynku Szkoły Podstawowej nr 2 przy al. Kopernika 28 w Nowym Targu o dwukondygnacyjny budynek sali gimnastycznej z zapleczem wraz z ukształtowaniem terenu, w tym ciągów komunikacji pieszo-jezdnej, parkingiem oraz niezbędną infrastrukturę techniczną. Dla celów zapewnienia ochrony przeciwpożarowej dla budynku zaprojektowano przejazd dla pojazdów jednostek ratowniczych. 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szCs w:val="20"/>
        </w:rPr>
        <w:t xml:space="preserve">Celem podniesienia funkcjonalności istniejącego na terenie opracowania zespołu budynków, projektuje się rozbudowę  obejmującą powierzchnię zabudowy wynoszącą 1 363,60 m2. Poziom </w:t>
      </w:r>
      <w:bookmarkStart w:id="12" w:name="firstHeading"/>
      <w:bookmarkEnd w:id="12"/>
      <w:r>
        <w:rPr>
          <w:rFonts w:ascii="Calibri" w:hAnsi="Calibri"/>
          <w:color w:val="000000"/>
          <w:szCs w:val="20"/>
        </w:rPr>
        <w:t>±0,00 projektowany jest na rzędnej 597,75 m n.p.m.</w:t>
      </w:r>
    </w:p>
    <w:p>
      <w:pPr>
        <w:pStyle w:val="Tretekstu"/>
        <w:rPr>
          <w:u w:val="single"/>
        </w:rPr>
      </w:pPr>
      <w:r>
        <w:rPr>
          <w:rFonts w:ascii="Calibri" w:hAnsi="Calibri"/>
          <w:szCs w:val="20"/>
          <w:u w:val="single"/>
        </w:rPr>
        <w:t>Uwaga: podczas prac realizacyjnych należy dopasować rzędne obiektów (nowoprojektowanego i istniejącego), aby w miejscu połączenia budynków zespolić je w taki sposób, żeby rzędne posadzek korespondowały z rzędnymi projektowanymi. Stan projektowany wysokości należy wytyczyć i zweryfikować geodezyjnie na etapie budowy w stosunku do stanu istniejącego.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3"/>
        <w:rPr/>
      </w:pPr>
      <w:bookmarkStart w:id="13" w:name="__RefHeading___Toc10152_1639221441"/>
      <w:bookmarkEnd w:id="13"/>
      <w:r>
        <w:rPr/>
        <w:t>Utwardzenia dla pojazdów kołowych i dla pieszych.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Zaprojektowano drogi dojazdowo – manewrowe, zlokalizowano parking dla samochodów osobowych ze stanowiskami postojowymi o wymiarach 3,60 x 5,00m przeznaczone dla osób niepełnosprawnych.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Nawierzchnie dróg zaprojektowano z kostki betonowej typu behaton, koloru szarego, natomiast miejsca postojowe z koloru grafitowego. Miejsca postojowe przewidziano wydzielić kostką koloru szarego.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Pomiędzy miejscami postojowymi, w miejscach zlokalizowanych wpustów przewidziano wykonanie ścieków międzyjezdniowych o szerokości 40cm z kostki betonowej gr. 6 cm o gł. 2 cm.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Nawierzchnie układów drogowych przewiduje się ograniczyć krawężnikiem betonowym typu ulicznego, o wymiarach 15x30x100 cm wyniesionym na wysokość h=10 cm w stosunku do nawierzchni jezdni. W celu ułatwienia manewru parkowania, narożniki wykonane z krawężników, w obrębie miejsc postojowych, wyokrąglono łukami o promieniach R=0,5m.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Na terenie inwestycji przewidziano wykonanie chodnikow – ciągów dla pieszych o nawierzchni z kostki betonowej koloru szarego. Szerokość chodników zgodnie z planem sytuacyjnym oraz projektem branży architektonicznej.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Wszystkie krawężniki oraz obrzeża należy wykonać na ławie betonowej z oporem z betonu C12/15 (B-15).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u w:val="single"/>
        </w:rPr>
        <w:t>Utwardzenia dla pojazdów kołowych (KR3)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 xml:space="preserve">Projektuje się utwardzenia dla pojazdów kołowych po stronie wschodniej projektowanego budynku szkoły pełniącą również funkcję drogi pożarowej </w:t>
      </w:r>
      <w:r>
        <w:rPr>
          <w:rFonts w:ascii="Calibri" w:hAnsi="Calibri"/>
          <w:color w:val="000000"/>
        </w:rPr>
        <w:t>(</w:t>
      </w:r>
      <w:r>
        <w:rPr>
          <w:rFonts w:eastAsia="NSimSun" w:cs="Arial" w:ascii="Calibri" w:hAnsi="Calibri"/>
          <w:b w:val="false"/>
          <w:color w:val="000000"/>
          <w:kern w:val="2"/>
          <w:sz w:val="20"/>
          <w:szCs w:val="18"/>
          <w:lang w:val="pl-PL" w:eastAsia="zh-CN" w:bidi="hi-IN"/>
        </w:rPr>
        <w:t>umożliwiającej</w:t>
      </w:r>
      <w:r>
        <w:rPr>
          <w:rFonts w:ascii="Calibri" w:hAnsi="Calibri"/>
          <w:color w:val="000000"/>
        </w:rPr>
        <w:t xml:space="preserve"> przejazd pojazdów o nacisku osi na nawierzchnię jezdni co najmniej 100 kN) oraz dojazdu do drogi pożarowej. </w:t>
      </w:r>
    </w:p>
    <w:p>
      <w:pPr>
        <w:pStyle w:val="Tretekstu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Warstwy drogowe:</w:t>
      </w:r>
    </w:p>
    <w:p>
      <w:pPr>
        <w:pStyle w:val="Normal"/>
        <w:spacing w:lineRule="auto" w:line="312"/>
        <w:ind w:left="425" w:right="-284" w:hanging="0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warstwa ścieralna</w:t>
      </w:r>
      <w:r>
        <w:rPr>
          <w:rFonts w:cs="Calibri"/>
          <w:i/>
          <w:iCs/>
          <w:sz w:val="20"/>
          <w:szCs w:val="20"/>
        </w:rPr>
        <w:t xml:space="preserve"> </w:t>
        <w:tab/>
        <w:tab/>
      </w:r>
      <w:r>
        <w:rPr>
          <w:rFonts w:cs="Calibri"/>
          <w:sz w:val="20"/>
          <w:szCs w:val="20"/>
        </w:rPr>
        <w:t xml:space="preserve">– brukowa kostka betonowa, typu dwuteownik, o gr. </w:t>
      </w:r>
      <w:r>
        <w:rPr>
          <w:rFonts w:cs="Calibri"/>
          <w:b/>
          <w:sz w:val="20"/>
          <w:szCs w:val="20"/>
        </w:rPr>
        <w:t>8 cm</w:t>
      </w:r>
      <w:r>
        <w:rPr>
          <w:rFonts w:cs="Calibri"/>
          <w:sz w:val="20"/>
          <w:szCs w:val="20"/>
        </w:rPr>
        <w:t>,</w:t>
      </w:r>
    </w:p>
    <w:p>
      <w:pPr>
        <w:pStyle w:val="Normal"/>
        <w:spacing w:lineRule="auto" w:line="312"/>
        <w:ind w:left="2552" w:right="-284" w:firstLine="425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koloru szarego – na drogach dojazdowo-manewrowych,  </w:t>
      </w:r>
    </w:p>
    <w:p>
      <w:pPr>
        <w:pStyle w:val="Normal"/>
        <w:spacing w:lineRule="auto" w:line="312"/>
        <w:ind w:left="2552" w:right="-284" w:firstLine="425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koloru grafitowego – na miejscach postojowych</w:t>
      </w:r>
    </w:p>
    <w:p>
      <w:pPr>
        <w:pStyle w:val="Normal"/>
        <w:spacing w:lineRule="auto" w:line="360"/>
        <w:ind w:left="425" w:hanging="0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podsypka</w:t>
      </w:r>
      <w:r>
        <w:rPr>
          <w:rFonts w:cs="Calibri"/>
          <w:i/>
          <w:iCs/>
          <w:sz w:val="20"/>
          <w:szCs w:val="20"/>
        </w:rPr>
        <w:t xml:space="preserve"> </w:t>
        <w:tab/>
        <w:tab/>
        <w:tab/>
        <w:t xml:space="preserve">– </w:t>
      </w:r>
      <w:r>
        <w:rPr>
          <w:rFonts w:cs="Calibri"/>
          <w:sz w:val="20"/>
          <w:szCs w:val="20"/>
        </w:rPr>
        <w:t xml:space="preserve">piaskowo – cementowa 4:1, o gr. </w:t>
      </w:r>
      <w:r>
        <w:rPr>
          <w:rFonts w:cs="Calibri"/>
          <w:b/>
          <w:sz w:val="20"/>
          <w:szCs w:val="20"/>
        </w:rPr>
        <w:t>3 cm</w:t>
      </w:r>
      <w:r>
        <w:rPr>
          <w:rFonts w:cs="Calibri"/>
          <w:sz w:val="20"/>
          <w:szCs w:val="20"/>
        </w:rPr>
        <w:t>,</w:t>
      </w:r>
    </w:p>
    <w:p>
      <w:pPr>
        <w:pStyle w:val="Normal"/>
        <w:spacing w:lineRule="auto" w:line="360"/>
        <w:ind w:left="2832" w:right="-426" w:hanging="2406"/>
        <w:rPr>
          <w:sz w:val="20"/>
          <w:szCs w:val="20"/>
        </w:rPr>
      </w:pPr>
      <w:r>
        <w:rPr>
          <w:rFonts w:cs="Calibri"/>
          <w:iCs/>
          <w:sz w:val="20"/>
          <w:szCs w:val="20"/>
          <w:u w:val="single"/>
        </w:rPr>
        <w:t>podbudowa zasadnicza</w:t>
      </w:r>
      <w:r>
        <w:rPr>
          <w:rFonts w:cs="Calibri"/>
          <w:iCs/>
          <w:sz w:val="20"/>
          <w:szCs w:val="20"/>
        </w:rPr>
        <w:t xml:space="preserve"> </w:t>
        <w:tab/>
      </w:r>
      <w:r>
        <w:rPr>
          <w:rFonts w:cs="Calibri"/>
          <w:sz w:val="20"/>
          <w:szCs w:val="20"/>
        </w:rPr>
        <w:t xml:space="preserve">– z chudego betonu o Rm=6-9 MPa, o gr. </w:t>
      </w:r>
      <w:r>
        <w:rPr>
          <w:rFonts w:cs="Calibri"/>
          <w:b/>
          <w:sz w:val="20"/>
          <w:szCs w:val="20"/>
        </w:rPr>
        <w:t>20 cm,</w:t>
      </w:r>
    </w:p>
    <w:p>
      <w:pPr>
        <w:pStyle w:val="Normal"/>
        <w:spacing w:lineRule="auto" w:line="360"/>
        <w:ind w:left="2832" w:right="-782" w:hanging="2407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warstwa odcinająca</w:t>
      </w:r>
      <w:r>
        <w:rPr>
          <w:rFonts w:cs="Calibri"/>
          <w:i/>
          <w:iCs/>
          <w:sz w:val="20"/>
          <w:szCs w:val="20"/>
        </w:rPr>
        <w:tab/>
      </w:r>
      <w:r>
        <w:rPr>
          <w:rFonts w:cs="Calibri"/>
          <w:sz w:val="20"/>
          <w:szCs w:val="20"/>
        </w:rPr>
        <w:t xml:space="preserve">– z piasku gruboziarnistego , o gr. </w:t>
      </w:r>
      <w:r>
        <w:rPr>
          <w:rFonts w:cs="Calibri"/>
          <w:b/>
          <w:sz w:val="20"/>
          <w:szCs w:val="20"/>
        </w:rPr>
        <w:t>15 cm</w:t>
        <w:br/>
      </w:r>
      <w:r>
        <w:rPr>
          <w:rFonts w:cs="Calibri"/>
          <w:sz w:val="20"/>
          <w:szCs w:val="20"/>
        </w:rPr>
        <w:t xml:space="preserve">   zagęszczone do parametru nie mniejszego niż E</w:t>
      </w:r>
      <w:r>
        <w:rPr>
          <w:rFonts w:cs="Calibri"/>
          <w:sz w:val="20"/>
          <w:szCs w:val="20"/>
          <w:vertAlign w:val="subscript"/>
        </w:rPr>
        <w:t>2</w:t>
      </w:r>
      <w:r>
        <w:rPr>
          <w:rFonts w:cs="Calibri"/>
          <w:sz w:val="20"/>
          <w:szCs w:val="20"/>
        </w:rPr>
        <w:t xml:space="preserve"> = 100 MPa</w:t>
      </w:r>
    </w:p>
    <w:p>
      <w:pPr>
        <w:pStyle w:val="Normal"/>
        <w:spacing w:lineRule="auto" w:line="360"/>
        <w:ind w:left="2124" w:right="-782" w:hanging="1699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istniejące podłoże</w:t>
        <w:tab/>
      </w:r>
      <w:r>
        <w:rPr>
          <w:rFonts w:cs="Calibri"/>
          <w:i/>
          <w:iCs/>
          <w:sz w:val="20"/>
          <w:szCs w:val="20"/>
        </w:rPr>
        <w:t xml:space="preserve"> </w:t>
        <w:tab/>
      </w:r>
      <w:r>
        <w:rPr>
          <w:rFonts w:cs="Calibri"/>
          <w:sz w:val="20"/>
          <w:szCs w:val="20"/>
        </w:rPr>
        <w:t>– istniejące grunty nasypowe zagęszczone do parametru nie mniejszego niż</w:t>
      </w:r>
      <w:r>
        <w:rPr>
          <w:rFonts w:cs="Calibri"/>
          <w:iCs/>
          <w:sz w:val="20"/>
          <w:szCs w:val="20"/>
        </w:rPr>
        <w:t xml:space="preserve">  </w:t>
      </w:r>
      <w:r>
        <w:rPr>
          <w:rFonts w:cs="Calibri"/>
          <w:sz w:val="20"/>
          <w:szCs w:val="20"/>
        </w:rPr>
        <w:t>E</w:t>
      </w:r>
      <w:r>
        <w:rPr>
          <w:rFonts w:cs="Calibri"/>
          <w:sz w:val="20"/>
          <w:szCs w:val="20"/>
          <w:vertAlign w:val="subscript"/>
        </w:rPr>
        <w:t>2</w:t>
      </w:r>
      <w:r>
        <w:rPr>
          <w:rFonts w:cs="Calibri"/>
          <w:sz w:val="20"/>
          <w:szCs w:val="20"/>
        </w:rPr>
        <w:t xml:space="preserve"> = 80 MPa</w:t>
      </w:r>
    </w:p>
    <w:p>
      <w:pPr>
        <w:pStyle w:val="Normal"/>
        <w:spacing w:lineRule="auto" w:line="360"/>
        <w:ind w:right="-782" w:hanging="0"/>
        <w:rPr>
          <w:sz w:val="20"/>
          <w:szCs w:val="20"/>
          <w:u w:val="single"/>
        </w:rPr>
      </w:pPr>
      <w:r>
        <w:rPr>
          <w:rFonts w:cs="Calibri"/>
          <w:sz w:val="20"/>
          <w:szCs w:val="20"/>
          <w:u w:val="single"/>
        </w:rPr>
        <w:t>Uwaga: W przypadku braku możliwości zagęszczenia istniejącego podłoża, należy dokonać wymiany gruntu na warstwę piasków.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szCs w:val="20"/>
        </w:rPr>
        <w:t>Zgodnie z § 12 ust. 7 projektuje się utwardzenia nieprzepuszcz</w:t>
      </w:r>
      <w:r>
        <w:rPr>
          <w:rFonts w:ascii="Calibri" w:hAnsi="Calibri"/>
        </w:rPr>
        <w:t>alne z kostki betonowej szarej grubości 8 cm.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u w:val="single"/>
        </w:rPr>
        <w:t>Miejsca postojowe (KR1)</w:t>
      </w:r>
    </w:p>
    <w:p>
      <w:pPr>
        <w:pStyle w:val="Tretekstu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Warstwy drogowe:</w:t>
      </w:r>
    </w:p>
    <w:p>
      <w:pPr>
        <w:pStyle w:val="Normal"/>
        <w:spacing w:lineRule="auto" w:line="312"/>
        <w:ind w:left="425" w:right="-284" w:hanging="0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warstwa ścieralna</w:t>
      </w:r>
      <w:r>
        <w:rPr>
          <w:rFonts w:cs="Calibri"/>
          <w:i/>
          <w:iCs/>
          <w:sz w:val="20"/>
          <w:szCs w:val="20"/>
        </w:rPr>
        <w:t xml:space="preserve"> </w:t>
        <w:tab/>
        <w:tab/>
      </w:r>
      <w:r>
        <w:rPr>
          <w:rFonts w:cs="Calibri"/>
          <w:sz w:val="20"/>
          <w:szCs w:val="20"/>
        </w:rPr>
        <w:t xml:space="preserve">– brukowa kostka betonowa, typu dwuteownik, o gr. </w:t>
      </w:r>
      <w:r>
        <w:rPr>
          <w:rFonts w:cs="Calibri"/>
          <w:b/>
          <w:sz w:val="20"/>
          <w:szCs w:val="20"/>
        </w:rPr>
        <w:t>8 cm</w:t>
      </w:r>
      <w:r>
        <w:rPr>
          <w:rFonts w:cs="Calibri"/>
          <w:sz w:val="20"/>
          <w:szCs w:val="20"/>
        </w:rPr>
        <w:t>,</w:t>
      </w:r>
    </w:p>
    <w:p>
      <w:pPr>
        <w:pStyle w:val="Normal"/>
        <w:spacing w:lineRule="auto" w:line="312"/>
        <w:ind w:left="2552" w:right="-284" w:firstLine="425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koloru szarego – na drogach dojazdowo-manewrowych,  </w:t>
      </w:r>
    </w:p>
    <w:p>
      <w:pPr>
        <w:pStyle w:val="Normal"/>
        <w:spacing w:lineRule="auto" w:line="312"/>
        <w:ind w:left="2552" w:right="-284" w:firstLine="425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koloru grafitowego – na miejscach postojowych</w:t>
      </w:r>
    </w:p>
    <w:p>
      <w:pPr>
        <w:pStyle w:val="Normal"/>
        <w:spacing w:lineRule="auto" w:line="312" w:before="0" w:after="40"/>
        <w:ind w:left="2552" w:right="-284" w:firstLine="425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koloru czerwonego – na zjazdach w obrębie pasa drogowego ulic,  </w:t>
      </w:r>
    </w:p>
    <w:p>
      <w:pPr>
        <w:pStyle w:val="Normal"/>
        <w:spacing w:lineRule="auto" w:line="360"/>
        <w:ind w:left="425" w:hanging="0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podsypka</w:t>
      </w:r>
      <w:r>
        <w:rPr>
          <w:rFonts w:cs="Calibri"/>
          <w:i/>
          <w:iCs/>
          <w:sz w:val="20"/>
          <w:szCs w:val="20"/>
        </w:rPr>
        <w:t xml:space="preserve"> </w:t>
        <w:tab/>
        <w:tab/>
        <w:tab/>
        <w:t xml:space="preserve">– </w:t>
      </w:r>
      <w:r>
        <w:rPr>
          <w:rFonts w:cs="Calibri"/>
          <w:sz w:val="20"/>
          <w:szCs w:val="20"/>
        </w:rPr>
        <w:t xml:space="preserve">piaskowo – cementowa 4:1, o gr. </w:t>
      </w:r>
      <w:r>
        <w:rPr>
          <w:rFonts w:cs="Calibri"/>
          <w:b/>
          <w:sz w:val="20"/>
          <w:szCs w:val="20"/>
        </w:rPr>
        <w:t>3 cm</w:t>
      </w:r>
      <w:r>
        <w:rPr>
          <w:rFonts w:cs="Calibri"/>
          <w:sz w:val="20"/>
          <w:szCs w:val="20"/>
        </w:rPr>
        <w:t>,</w:t>
      </w:r>
    </w:p>
    <w:p>
      <w:pPr>
        <w:pStyle w:val="Normal"/>
        <w:spacing w:lineRule="auto" w:line="360"/>
        <w:ind w:left="2832" w:right="-426" w:hanging="2406"/>
        <w:rPr>
          <w:sz w:val="20"/>
          <w:szCs w:val="20"/>
        </w:rPr>
      </w:pPr>
      <w:r>
        <w:rPr>
          <w:rFonts w:cs="Calibri"/>
          <w:iCs/>
          <w:sz w:val="20"/>
          <w:szCs w:val="20"/>
          <w:u w:val="single"/>
        </w:rPr>
        <w:t>podbudowa zasadnicza</w:t>
      </w:r>
      <w:r>
        <w:rPr>
          <w:rFonts w:cs="Calibri"/>
          <w:iCs/>
          <w:sz w:val="20"/>
          <w:szCs w:val="20"/>
        </w:rPr>
        <w:t xml:space="preserve"> </w:t>
        <w:tab/>
      </w:r>
      <w:r>
        <w:rPr>
          <w:rFonts w:cs="Calibri"/>
          <w:sz w:val="20"/>
          <w:szCs w:val="20"/>
        </w:rPr>
        <w:t xml:space="preserve">– z chudego betonu o Rm=6-9 MPa, o gr. </w:t>
      </w:r>
      <w:r>
        <w:rPr>
          <w:rFonts w:cs="Calibri"/>
          <w:b/>
          <w:sz w:val="20"/>
          <w:szCs w:val="20"/>
        </w:rPr>
        <w:t>20 cm,</w:t>
      </w:r>
    </w:p>
    <w:p>
      <w:pPr>
        <w:pStyle w:val="Normal"/>
        <w:spacing w:lineRule="auto" w:line="360"/>
        <w:ind w:left="2832" w:right="-782" w:hanging="2407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warstwa odcinająca</w:t>
      </w:r>
      <w:r>
        <w:rPr>
          <w:rFonts w:cs="Calibri"/>
          <w:i/>
          <w:iCs/>
          <w:sz w:val="20"/>
          <w:szCs w:val="20"/>
        </w:rPr>
        <w:tab/>
      </w:r>
      <w:r>
        <w:rPr>
          <w:rFonts w:cs="Calibri"/>
          <w:sz w:val="20"/>
          <w:szCs w:val="20"/>
        </w:rPr>
        <w:t xml:space="preserve">– z piasku gruboziarnistego , o gr. </w:t>
      </w:r>
      <w:r>
        <w:rPr>
          <w:rFonts w:cs="Calibri"/>
          <w:b/>
          <w:sz w:val="20"/>
          <w:szCs w:val="20"/>
        </w:rPr>
        <w:t>15 cm</w:t>
        <w:br/>
      </w:r>
      <w:r>
        <w:rPr>
          <w:rFonts w:cs="Calibri"/>
          <w:sz w:val="20"/>
          <w:szCs w:val="20"/>
        </w:rPr>
        <w:t xml:space="preserve">   zagęszczone do parametru nie mniejszego niż E</w:t>
      </w:r>
      <w:r>
        <w:rPr>
          <w:rFonts w:cs="Calibri"/>
          <w:sz w:val="20"/>
          <w:szCs w:val="20"/>
          <w:vertAlign w:val="subscript"/>
        </w:rPr>
        <w:t>2</w:t>
      </w:r>
      <w:r>
        <w:rPr>
          <w:rFonts w:cs="Calibri"/>
          <w:sz w:val="20"/>
          <w:szCs w:val="20"/>
        </w:rPr>
        <w:t xml:space="preserve"> = 100 MPa</w:t>
      </w:r>
    </w:p>
    <w:p>
      <w:pPr>
        <w:pStyle w:val="Normal"/>
        <w:spacing w:lineRule="auto" w:line="360"/>
        <w:ind w:left="2124" w:right="-782" w:hanging="1699"/>
        <w:rPr>
          <w:sz w:val="20"/>
          <w:szCs w:val="20"/>
        </w:rPr>
      </w:pPr>
      <w:r>
        <w:rPr>
          <w:rFonts w:cs="Calibri"/>
          <w:i/>
          <w:iCs/>
          <w:sz w:val="20"/>
          <w:szCs w:val="20"/>
          <w:u w:val="single"/>
        </w:rPr>
        <w:t>istniejące podłoże</w:t>
        <w:tab/>
      </w:r>
      <w:r>
        <w:rPr>
          <w:rFonts w:cs="Calibri"/>
          <w:i/>
          <w:iCs/>
          <w:sz w:val="20"/>
          <w:szCs w:val="20"/>
        </w:rPr>
        <w:t xml:space="preserve"> </w:t>
        <w:tab/>
      </w:r>
      <w:r>
        <w:rPr>
          <w:rFonts w:cs="Calibri"/>
          <w:sz w:val="20"/>
          <w:szCs w:val="20"/>
        </w:rPr>
        <w:t>– istniejące grunty nasypowe zagęszczone do parametru nie mniejszego niż</w:t>
      </w:r>
      <w:r>
        <w:rPr>
          <w:rFonts w:cs="Calibri"/>
          <w:iCs/>
          <w:sz w:val="20"/>
          <w:szCs w:val="20"/>
        </w:rPr>
        <w:t xml:space="preserve">  </w:t>
      </w:r>
      <w:r>
        <w:rPr>
          <w:rFonts w:cs="Calibri"/>
          <w:sz w:val="20"/>
          <w:szCs w:val="20"/>
        </w:rPr>
        <w:t>E</w:t>
      </w:r>
      <w:r>
        <w:rPr>
          <w:rFonts w:cs="Calibri"/>
          <w:sz w:val="20"/>
          <w:szCs w:val="20"/>
          <w:vertAlign w:val="subscript"/>
        </w:rPr>
        <w:t>2</w:t>
      </w:r>
      <w:r>
        <w:rPr>
          <w:rFonts w:cs="Calibri"/>
          <w:sz w:val="20"/>
          <w:szCs w:val="20"/>
        </w:rPr>
        <w:t xml:space="preserve"> = 80 MPa</w:t>
      </w:r>
    </w:p>
    <w:p>
      <w:pPr>
        <w:pStyle w:val="Normal"/>
        <w:spacing w:lineRule="auto" w:line="360"/>
        <w:ind w:right="-782" w:hanging="0"/>
        <w:rPr>
          <w:sz w:val="20"/>
          <w:szCs w:val="20"/>
          <w:u w:val="single"/>
        </w:rPr>
      </w:pPr>
      <w:r>
        <w:rPr>
          <w:rFonts w:cs="Calibri"/>
          <w:sz w:val="20"/>
          <w:szCs w:val="20"/>
          <w:u w:val="single"/>
        </w:rPr>
        <w:t>Uwaga: W przypadku możliwości zagęszczenia istniejącego podłoża, należy dokonać wymiany gruntu na warstwę piasków.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szCs w:val="20"/>
        </w:rPr>
        <w:t>Zgodnie z § 12 ust. 7 projektuje się utwardzenia nieprzepuszcz</w:t>
      </w:r>
      <w:r>
        <w:rPr>
          <w:rFonts w:ascii="Calibri" w:hAnsi="Calibri"/>
        </w:rPr>
        <w:t>alne z kostki betonowej szarej grubości 8 cm.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Odwodnienie parkingów wraz z podczyszczeniem należy wykonywać dla parkingów przekraczających powierzchnię 1000 m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(0,1ha) – projektowane miejsca nie przekraczają tej wartości.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u w:val="single"/>
        </w:rPr>
        <w:t>Utwardzenia dla pieszych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Projektuje się utwardzenia na potrzeby komunikacji osób pieszych zapełniające połączenie między strategicznymi p</w:t>
      </w:r>
      <w:r>
        <w:rPr>
          <w:rFonts w:ascii="Calibri" w:hAnsi="Calibri"/>
          <w:szCs w:val="20"/>
        </w:rPr>
        <w:t>unktami budynków oraz terenu szkoły zgodnie z częścią rysunkową.</w:t>
      </w:r>
    </w:p>
    <w:p>
      <w:pPr>
        <w:pStyle w:val="Tretekstu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Zgodnie z § 12 ust. 7 projektuje się utwardzenia nieprzepuszczalne z kostki betonowej szarej grubości 8 cm.</w:t>
      </w:r>
    </w:p>
    <w:p>
      <w:pPr>
        <w:pStyle w:val="Tretekstu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</w:r>
    </w:p>
    <w:p>
      <w:pPr>
        <w:pStyle w:val="Normal"/>
        <w:tabs>
          <w:tab w:val="clear" w:pos="720"/>
          <w:tab w:val="left" w:pos="551" w:leader="none"/>
        </w:tabs>
        <w:spacing w:lineRule="auto" w:line="312" w:before="0" w:after="40"/>
        <w:ind w:left="405" w:hanging="0"/>
        <w:jc w:val="both"/>
        <w:rPr>
          <w:sz w:val="20"/>
          <w:szCs w:val="20"/>
        </w:rPr>
      </w:pPr>
      <w:r>
        <w:rPr>
          <w:rFonts w:cs="Calibri"/>
          <w:b/>
          <w:sz w:val="20"/>
          <w:szCs w:val="20"/>
          <w:u w:val="single"/>
        </w:rPr>
        <w:t>Uwagi i zalecenia:</w:t>
      </w:r>
      <w:r>
        <w:rPr>
          <w:rFonts w:cs="Calibri"/>
          <w:b/>
          <w:sz w:val="20"/>
          <w:szCs w:val="20"/>
        </w:rPr>
        <w:t xml:space="preserve"> 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Zwraca się uwagę, by w trakcie wykonywania robót ziemnych uwzględnić specyficzne właściwości istniejących gruntów, które na skutek zmian wilgotności mogą pogorszyć swoje parametry fizyczno-mechaniczne, tj. ulec dalszemu uplastycznianiu, co w konsekwencji spowoduje osłabienie ich nośności. Zatem odsłonięcie warstwy gruntów spoistych zaleca się wykonywać etapowo bezpośrednio przed ułożeniem warstwy z piasku oraz kruszywa stabilizowanego cementem (lub warstwy nasypu).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Każdą warstwę gruntów spoistych, która uległa uplastycznieniu należy wymienić przed układaniem nasypu lub konstrukcji drogi.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Prace ziemne należy obowiązkowo prowadzić pod nadzorem uprawnionego Geotechnika który na bieżąco będzie dokonywał kwalifikacji oraz przydatności istniejących gruntów.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Zwraca się uwagę w szczególności na sprawdzenie prawidłowego zagęszczenia gruntu w miejscach przeprowadzanej wymiany gruntów oraz zasypek w miejscach wykonywania urządzeń podziemnego uzbrojenia terenu.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 przypadku braku możliwości dogęszczenia istniejących nasypów niekontrolowanych do wymaganych parametrów nośności lub w przypadku stwierdzenia parametrów nośności istniejącego podłoża niższych od wartości wskazanych w dokumentacji projektowej, należy wykonać dodatkową wymianę istniejących nasypów niekontrolowanych na nasyp budowlany (z piasków, gruzobetonu lub stabilizacji cementem) o grubości umożliwiającej doprowadzania podłoża do wymaganej nośności.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eastAsia="Lucida Sans Unicode" w:cs="Calibri"/>
          <w:sz w:val="20"/>
          <w:szCs w:val="20"/>
        </w:rPr>
      </w:pPr>
      <w:r>
        <w:rPr>
          <w:rFonts w:eastAsia="Lucida Sans Unicode" w:cs="Calibri"/>
          <w:sz w:val="20"/>
          <w:szCs w:val="20"/>
        </w:rPr>
        <w:t>Podbudowa z kruszywa stabilizowanego cementem powinna być natychmiast po zagęszczeniu poddana pielęgnacji. Nie należy dopuszczać żadnego ruchu pojazdów i maszyn po podbudowie w okresie min 7 dni pielęgnacji celem uzyskania odpowiedniej nośności warstwy.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sz w:val="20"/>
          <w:szCs w:val="20"/>
        </w:rPr>
      </w:pPr>
      <w:r>
        <w:rPr>
          <w:rFonts w:eastAsia="Lucida Sans Unicode" w:cs="Calibri"/>
          <w:sz w:val="20"/>
          <w:szCs w:val="20"/>
        </w:rPr>
        <w:t xml:space="preserve">Dopuszcza się zastosowanie gruzobetonu </w:t>
      </w:r>
      <w:r>
        <w:rPr>
          <w:rFonts w:eastAsia="Arial" w:cs="Calibri"/>
          <w:sz w:val="20"/>
          <w:szCs w:val="20"/>
        </w:rPr>
        <w:t>pozyskanego z przekruszenia twardego betonu, bez domieszek gazobetonu, cegły, ziemi i innych zanieczyszczeń.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Miejsca postojowe należy wydzielić kostką betonową koloru szarego lub oznakować malowaniem farbą koloru białego.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Wszystkie nawierzchnie należy wykonać z kostki betonowej. Ostateczny rodzaj kostki, kształt, kolor oraz wzór ułożenia należy uzgodnić z Inwestorem na etapie budowy.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Odchylenia ułożonej warstwy ścieralnej od projektowanych rzędnych nie mogą przekraczać </w:t>
      </w:r>
      <w:r>
        <w:rPr>
          <w:rFonts w:eastAsia="Symbol" w:cs="Symbol"/>
          <w:sz w:val="20"/>
          <w:szCs w:val="20"/>
        </w:rPr>
        <w:t></w:t>
      </w:r>
      <w:r>
        <w:rPr>
          <w:rFonts w:cs="Calibri"/>
          <w:sz w:val="20"/>
          <w:szCs w:val="20"/>
        </w:rPr>
        <w:t xml:space="preserve"> 1,5 cm;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Równość warstwy ścieralnej w profilu podłużnym mierzona łatą 4-metrową zgodnie z normą B-68/8931-04 powinna być taka, aby nierówności nie przekraczały 0,8 cm. Natomiast równość w profilu poprzecznym powinna być taka, aby po przyłożeniu łaty profilowej prostopadle do osi nawierzchni prześwity pomiędzy łatą a powierzchnią warstwy ścieralnej nie przekraczały 0,8 cm.</w:t>
      </w:r>
    </w:p>
    <w:p>
      <w:pPr>
        <w:pStyle w:val="Normal"/>
        <w:spacing w:lineRule="auto" w:line="324"/>
        <w:ind w:left="1712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Dopuszczalne odchylenia dla pozostałych warstw nawierzchni wynoszą:</w:t>
      </w:r>
    </w:p>
    <w:p>
      <w:pPr>
        <w:pStyle w:val="Normal"/>
        <w:tabs>
          <w:tab w:val="clear" w:pos="720"/>
          <w:tab w:val="left" w:pos="1701" w:leader="none"/>
        </w:tabs>
        <w:spacing w:lineRule="auto" w:line="324"/>
        <w:ind w:left="1863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- podłoże</w:t>
        <w:tab/>
        <w:t>-2, +0 cm</w:t>
      </w:r>
    </w:p>
    <w:p>
      <w:pPr>
        <w:pStyle w:val="Normal"/>
        <w:tabs>
          <w:tab w:val="clear" w:pos="720"/>
          <w:tab w:val="left" w:pos="1701" w:leader="none"/>
        </w:tabs>
        <w:spacing w:lineRule="auto" w:line="324"/>
        <w:ind w:left="1863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- podbudowa zasadnicza</w:t>
        <w:tab/>
        <w:t>-1, +0 cm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eastAsia="Times New Roman" w:cs="Calibri"/>
          <w:sz w:val="20"/>
          <w:szCs w:val="20"/>
          <w:lang w:bidi="ar-SA"/>
        </w:rPr>
      </w:pPr>
      <w:r>
        <w:rPr>
          <w:rFonts w:eastAsia="Times New Roman" w:cs="Calibri"/>
          <w:sz w:val="20"/>
          <w:szCs w:val="20"/>
          <w:lang w:bidi="ar-SA"/>
        </w:rPr>
        <w:t>Kostkę brukową układać na podsypce piaskowo – cementowej przy stałym sprawdzaniu równości nawierzchni 4-metrową łatą aluminiową.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eastAsia="Times New Roman" w:cs="Calibri"/>
          <w:sz w:val="20"/>
          <w:szCs w:val="20"/>
          <w:lang w:bidi="ar-SA"/>
        </w:rPr>
      </w:pPr>
      <w:r>
        <w:rPr>
          <w:rFonts w:eastAsia="Times New Roman" w:cs="Calibri"/>
          <w:sz w:val="20"/>
          <w:szCs w:val="20"/>
          <w:lang w:bidi="ar-SA"/>
        </w:rPr>
        <w:t>Nie wolno wyrównywać nierówności podbudowy zasadniczej podsypką cementowo-piaskową.</w:t>
      </w:r>
    </w:p>
    <w:p>
      <w:pPr>
        <w:pStyle w:val="Normal"/>
        <w:numPr>
          <w:ilvl w:val="0"/>
          <w:numId w:val="5"/>
        </w:numPr>
        <w:spacing w:lineRule="auto" w:line="312" w:before="60" w:after="40"/>
        <w:jc w:val="both"/>
        <w:rPr>
          <w:rFonts w:eastAsia="Times New Roman" w:cs="Calibri"/>
          <w:sz w:val="20"/>
          <w:szCs w:val="20"/>
          <w:lang w:bidi="ar-SA"/>
        </w:rPr>
      </w:pPr>
      <w:r>
        <w:rPr>
          <w:rFonts w:eastAsia="Times New Roman" w:cs="Calibri"/>
          <w:sz w:val="20"/>
          <w:szCs w:val="20"/>
          <w:lang w:bidi="ar-SA"/>
        </w:rPr>
        <w:t>Nośność podbudowy zasadniczej i pomocniczej należy sprawdzać badaniem płytą VSS natomiast nośność podbudowy z kruszywa stabilizowanego cementem należy sprawdzić poprzez badania pobranych próbek.</w:t>
      </w:r>
    </w:p>
    <w:p>
      <w:pPr>
        <w:pStyle w:val="Normal"/>
        <w:spacing w:lineRule="auto" w:line="312" w:before="60" w:after="40"/>
        <w:jc w:val="both"/>
        <w:rPr>
          <w:rFonts w:eastAsia="Times New Roman" w:cs="Calibri"/>
          <w:sz w:val="20"/>
          <w:szCs w:val="20"/>
          <w:lang w:bidi="ar-SA"/>
        </w:rPr>
      </w:pPr>
      <w:r>
        <w:rPr>
          <w:rFonts w:eastAsia="Times New Roman" w:cs="Calibri"/>
          <w:sz w:val="20"/>
          <w:szCs w:val="20"/>
          <w:lang w:bidi="ar-SA"/>
        </w:rPr>
      </w:r>
    </w:p>
    <w:p>
      <w:pPr>
        <w:pStyle w:val="Normal"/>
        <w:tabs>
          <w:tab w:val="clear" w:pos="720"/>
          <w:tab w:val="left" w:pos="551" w:leader="none"/>
        </w:tabs>
        <w:spacing w:lineRule="auto" w:line="312" w:before="0" w:after="40"/>
        <w:ind w:left="405" w:hanging="0"/>
        <w:jc w:val="both"/>
        <w:rPr>
          <w:sz w:val="20"/>
          <w:szCs w:val="20"/>
        </w:rPr>
      </w:pPr>
      <w:r>
        <w:rPr>
          <w:rFonts w:eastAsia="Times New Roman" w:cs="Calibri"/>
          <w:b/>
          <w:sz w:val="20"/>
          <w:szCs w:val="20"/>
          <w:u w:val="single"/>
          <w:lang w:bidi="ar-SA"/>
        </w:rPr>
        <w:t>Roboty ziemne</w:t>
      </w:r>
      <w:r>
        <w:rPr>
          <w:rFonts w:cs="Calibri"/>
          <w:b/>
          <w:sz w:val="20"/>
          <w:szCs w:val="20"/>
          <w:u w:val="single"/>
        </w:rPr>
        <w:t>:</w:t>
      </w:r>
      <w:r>
        <w:rPr>
          <w:rFonts w:cs="Calibri"/>
          <w:b/>
          <w:sz w:val="20"/>
          <w:szCs w:val="20"/>
        </w:rPr>
        <w:t xml:space="preserve"> </w:t>
      </w:r>
    </w:p>
    <w:p>
      <w:pPr>
        <w:pStyle w:val="Normal"/>
        <w:spacing w:lineRule="auto" w:line="360"/>
        <w:ind w:left="386" w:right="-96" w:hanging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Wykonanie robót ziemnych realizowanych w ramach inwestycji polega na: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zdjęciu warstwy humusu,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wykonaniu zasadniczych robót ziemnych – wykopów/nasypów,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rozbiórce istniejących zjazdów przewidzianych do likwidacji lub przebudowy,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rozbiórce istniejących nawierzchni dróg i parkingów,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sprawdzeniu nośności istniejącego podłoża gruntowego i ewentualna wymiana gruntów,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wyprofilowaniu i zagęszczeniu koryta drogowego,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wyprofilowaniu i zagęszczeniu skarp oraz pobocza gruntowego,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spacing w:lineRule="auto" w:line="360"/>
        <w:ind w:left="851" w:hanging="3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zahumusowanie i obsianie skarp trawą.</w:t>
      </w:r>
    </w:p>
    <w:p>
      <w:pPr>
        <w:pStyle w:val="Normal"/>
        <w:spacing w:lineRule="auto" w:line="360" w:before="60" w:after="0"/>
        <w:ind w:left="386" w:right="-96" w:hanging="0"/>
        <w:jc w:val="both"/>
        <w:rPr>
          <w:rFonts w:cs="Calibri"/>
          <w:i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Wykonanie zasadniczych robót ziemnych</w:t>
      </w:r>
    </w:p>
    <w:p>
      <w:pPr>
        <w:pStyle w:val="Normal"/>
        <w:spacing w:lineRule="auto" w:line="360" w:before="60" w:after="0"/>
        <w:ind w:left="386" w:right="-9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Roboty rozpocząć od zdjęcia humusu. Humus przeznaczony do wykorzystania w robotach ziemnych skarp należy spryzmować w bezpośredniej bliskości robót.</w:t>
      </w:r>
    </w:p>
    <w:p>
      <w:pPr>
        <w:pStyle w:val="Normal"/>
        <w:spacing w:lineRule="auto" w:line="360" w:before="60" w:after="0"/>
        <w:ind w:left="38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 miejscach wykonywania wykopu należy dokonać kontroli nośności istniejącego koryta drogowego – parametry powinny być zgodne z założeniami przyjętymi w dokumentacji.</w:t>
      </w:r>
    </w:p>
    <w:p>
      <w:pPr>
        <w:pStyle w:val="Normal"/>
        <w:spacing w:lineRule="auto" w:line="360" w:before="60" w:after="0"/>
        <w:ind w:left="386" w:right="-96" w:hanging="0"/>
        <w:jc w:val="both"/>
        <w:rPr>
          <w:sz w:val="20"/>
          <w:szCs w:val="20"/>
        </w:rPr>
      </w:pPr>
      <w:r>
        <w:rPr>
          <w:rFonts w:cs="Calibri"/>
          <w:iCs/>
          <w:sz w:val="20"/>
          <w:szCs w:val="20"/>
        </w:rPr>
        <w:t xml:space="preserve">W przypadku braku możliwości dogęszczenia istniejących nasypów </w:t>
      </w:r>
      <w:r>
        <w:rPr>
          <w:rFonts w:cs="Calibri"/>
          <w:sz w:val="20"/>
          <w:szCs w:val="20"/>
        </w:rPr>
        <w:t>niekontrolowanych i nie uzyskania wymaganych parametrów nośności, lub w przypadku stwierdzenia występowania gruntów w stanie plastycznym, miękkoplastycznym lub organicznych należy wykonać dodatkową warstwę ulepszonego podłoża lub dokonać częściowej wymiany gruntu. Stosowane grunty powinny spełniać wymagania określone w PN-S-02205.</w:t>
      </w:r>
    </w:p>
    <w:p>
      <w:pPr>
        <w:pStyle w:val="Normal"/>
        <w:spacing w:lineRule="auto" w:line="360" w:before="60" w:after="0"/>
        <w:ind w:left="386" w:right="-96" w:hanging="0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Zasypki nad przebudowywanym / zabezpieczanym uzbrojeniem terenu należy wykonywać i zagęszczać metodą warstwową, równomiernie na całej szerokości zgodnie z normą  PN-S-02205. Górną warstwę nasypu koryto drogowe należy wyprofilować i zagęścić do parametrów zgodnych nie mniejszych niż: Is = 1,0,  </w:t>
      </w:r>
      <w:r>
        <w:rPr>
          <w:rFonts w:eastAsia="Arial" w:cs="Calibri"/>
          <w:sz w:val="20"/>
          <w:szCs w:val="20"/>
        </w:rPr>
        <w:t>E</w:t>
      </w:r>
      <w:r>
        <w:rPr>
          <w:rFonts w:eastAsia="Arial" w:cs="Calibri"/>
          <w:sz w:val="20"/>
          <w:szCs w:val="20"/>
          <w:vertAlign w:val="subscript"/>
        </w:rPr>
        <w:t>2</w:t>
      </w:r>
      <w:r>
        <w:rPr>
          <w:rFonts w:eastAsia="Arial" w:cs="Calibri"/>
          <w:sz w:val="20"/>
          <w:szCs w:val="20"/>
        </w:rPr>
        <w:t>=80 MPa,  E</w:t>
      </w:r>
      <w:r>
        <w:rPr>
          <w:rFonts w:eastAsia="Arial" w:cs="Calibri"/>
          <w:sz w:val="20"/>
          <w:szCs w:val="20"/>
          <w:vertAlign w:val="subscript"/>
        </w:rPr>
        <w:t>2</w:t>
      </w:r>
      <w:r>
        <w:rPr>
          <w:rFonts w:eastAsia="Arial" w:cs="Calibri"/>
          <w:sz w:val="20"/>
          <w:szCs w:val="20"/>
        </w:rPr>
        <w:t>/E</w:t>
      </w:r>
      <w:r>
        <w:rPr>
          <w:rFonts w:eastAsia="Arial" w:cs="Calibri"/>
          <w:sz w:val="20"/>
          <w:szCs w:val="20"/>
          <w:vertAlign w:val="subscript"/>
        </w:rPr>
        <w:t>1</w:t>
      </w:r>
      <w:r>
        <w:rPr>
          <w:rFonts w:eastAsia="Arial"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≤ 2,2.</w:t>
      </w:r>
    </w:p>
    <w:p>
      <w:pPr>
        <w:pStyle w:val="Normal"/>
        <w:spacing w:lineRule="auto" w:line="360"/>
        <w:ind w:left="38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Po wykonaniu wykopów i wykonaniu prac nawierzchniowych, plantowaniu skarp przewidziano humusowanie skarp gr. 10-15 cm z obsianiem trawą o gatunkach odpornych na butwienie i silnym systemie korzeniowym. Zastosowany humus nie może być torfiasty. Skarpy należy wykonywać o pochyleniu od 1:1,5 do 1:1,3. W przypadku konieczności wykonywania skarp o większym pochyleniu skarpy należy umocnić ekokratą wraz z obsianiem trawą. </w:t>
      </w:r>
    </w:p>
    <w:p>
      <w:pPr>
        <w:pStyle w:val="Normal"/>
        <w:spacing w:lineRule="auto" w:line="360"/>
        <w:ind w:left="386" w:right="-9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Roboty ziemne należy wykonać według następujących norm: </w:t>
      </w:r>
    </w:p>
    <w:p>
      <w:pPr>
        <w:pStyle w:val="Normal"/>
        <w:spacing w:lineRule="auto" w:line="360"/>
        <w:ind w:left="386" w:right="-9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- PN-S-022205 “Drogi samochodowe. Roboty ziemne. Wymagania i badania.”</w:t>
      </w:r>
    </w:p>
    <w:p>
      <w:pPr>
        <w:pStyle w:val="Normal"/>
        <w:spacing w:lineRule="auto" w:line="360"/>
        <w:ind w:left="386" w:right="-96" w:hanging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- PN-68/B-06050 “Roboty ziemne budowlane. Wymagania w zakresie wykonania i badania przy odbiorze.”</w:t>
      </w:r>
    </w:p>
    <w:p>
      <w:pPr>
        <w:pStyle w:val="Normal"/>
        <w:tabs>
          <w:tab w:val="clear" w:pos="720"/>
          <w:tab w:val="left" w:pos="551" w:leader="none"/>
        </w:tabs>
        <w:spacing w:lineRule="auto" w:line="360" w:before="0" w:after="40"/>
        <w:ind w:left="386" w:right="-96" w:hanging="0"/>
        <w:jc w:val="both"/>
        <w:rPr>
          <w:rFonts w:eastAsia="Times New Roman" w:cs="Calibri"/>
          <w:sz w:val="20"/>
          <w:szCs w:val="20"/>
          <w:lang w:bidi="ar-SA"/>
        </w:rPr>
      </w:pPr>
      <w:r>
        <w:rPr>
          <w:sz w:val="20"/>
          <w:szCs w:val="20"/>
        </w:rPr>
        <w:t>- BN-77/8931-12 “Oznaczenie wskaźnika zagęszczenia gruntu”.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14" w:name="__RefHeading___Toc9072_691895806"/>
      <w:bookmarkEnd w:id="14"/>
      <w:r>
        <w:rPr/>
        <w:t>INFORMACJE I DANE</w:t>
      </w:r>
    </w:p>
    <w:p>
      <w:pPr>
        <w:pStyle w:val="Nagwek3"/>
        <w:rPr/>
      </w:pPr>
      <w:bookmarkStart w:id="15" w:name="__RefHeading___Toc9074_691895806"/>
      <w:bookmarkEnd w:id="15"/>
      <w:r>
        <w:rPr/>
        <w:t>Bilans terenu</w:t>
      </w:r>
    </w:p>
    <w:p>
      <w:pPr>
        <w:pStyle w:val="Nagwek4"/>
        <w:rPr/>
      </w:pPr>
      <w:bookmarkStart w:id="16" w:name="__RefHeading___Toc9078_691895806"/>
      <w:bookmarkEnd w:id="16"/>
      <w:r>
        <w:rPr/>
        <w:t>Zestawienie powierzchni – stan projektowanych</w:t>
      </w:r>
    </w:p>
    <w:tbl>
      <w:tblPr>
        <w:tblW w:w="969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66"/>
        <w:gridCol w:w="3633"/>
        <w:gridCol w:w="2944"/>
        <w:gridCol w:w="2548"/>
      </w:tblGrid>
      <w:tr>
        <w:trPr/>
        <w:tc>
          <w:tcPr>
            <w:tcW w:w="9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ZESTAWIENIE POWIERZCHNI – STAN PROJEKTOWANY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lp.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nazwa pozycji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[m2]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[m2]</w:t>
            </w:r>
          </w:p>
        </w:tc>
      </w:tr>
      <w:tr>
        <w:trPr/>
        <w:tc>
          <w:tcPr>
            <w:tcW w:w="9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DZIAŁKI: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 xml:space="preserve">dz. nr: </w:t>
            </w:r>
            <w:r>
              <w:rPr>
                <w:color w:val="000000"/>
              </w:rPr>
              <w:t>13219/1, 13220/6, 13220/1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12818</w:t>
            </w:r>
          </w:p>
        </w:tc>
        <w:tc>
          <w:tcPr>
            <w:tcW w:w="2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12818 (100%)</w:t>
            </w:r>
          </w:p>
        </w:tc>
      </w:tr>
      <w:tr>
        <w:trPr/>
        <w:tc>
          <w:tcPr>
            <w:tcW w:w="969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POWIERZCHNIA ZABUDOWY</w:t>
            </w:r>
          </w:p>
        </w:tc>
      </w:tr>
      <w:tr>
        <w:trPr/>
        <w:tc>
          <w:tcPr>
            <w:tcW w:w="714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ZABUDOWA ISTNIEJĄCA</w:t>
            </w:r>
          </w:p>
        </w:tc>
        <w:tc>
          <w:tcPr>
            <w:tcW w:w="25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3210,4 (25,05%)</w:t>
            </w:r>
          </w:p>
        </w:tc>
      </w:tr>
      <w:tr>
        <w:trPr>
          <w:trHeight w:val="286" w:hRule="atLeast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Budyn</w:t>
            </w:r>
            <w:r>
              <w:rPr>
                <w:color w:val="000000"/>
              </w:rPr>
              <w:t>ki</w:t>
            </w:r>
            <w:r>
              <w:rPr/>
              <w:t xml:space="preserve"> szkoły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1846,8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71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ZABUDOWA PROJEKTOWANA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 xml:space="preserve">Rozbudowa szkoły </w:t>
            </w:r>
            <w:r>
              <w:rPr>
                <w:color w:val="000000"/>
              </w:rPr>
              <w:t>(wraz z łącznikiem)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1363,6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6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POWIERZCHNIA UTWARDZONA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Proj</w:t>
            </w:r>
            <w:r>
              <w:rPr>
                <w:rFonts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  <w:t>ek</w:t>
            </w:r>
            <w:r>
              <w:rPr>
                <w:color w:val="000000"/>
              </w:rPr>
              <w:t xml:space="preserve">towane </w:t>
            </w:r>
            <w:r>
              <w:rPr>
                <w:rFonts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  <w:t>u</w:t>
            </w:r>
            <w:r>
              <w:rPr>
                <w:color w:val="000000"/>
              </w:rPr>
              <w:t>twardzenia (drogi, chodniki)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581,44</w:t>
            </w:r>
          </w:p>
        </w:tc>
        <w:tc>
          <w:tcPr>
            <w:tcW w:w="25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>
              <w:rPr>
                <w:rFonts w:eastAsia="NSimSun" w:cs="Arial"/>
                <w:b/>
                <w:color w:val="000000"/>
                <w:kern w:val="2"/>
                <w:sz w:val="18"/>
                <w:szCs w:val="18"/>
                <w:lang w:val="pl-PL" w:eastAsia="zh-CN" w:bidi="hi-IN"/>
              </w:rPr>
              <w:t xml:space="preserve">331,84 </w:t>
            </w:r>
            <w:r>
              <w:rPr>
                <w:b/>
                <w:color w:val="000000"/>
              </w:rPr>
              <w:t>(33,</w:t>
            </w:r>
            <w:r>
              <w:rPr>
                <w:rFonts w:eastAsia="NSimSun" w:cs="Arial"/>
                <w:b/>
                <w:color w:val="000000"/>
                <w:kern w:val="2"/>
                <w:sz w:val="18"/>
                <w:szCs w:val="18"/>
                <w:lang w:val="pl-PL" w:eastAsia="zh-CN" w:bidi="hi-IN"/>
              </w:rPr>
              <w:t>79</w:t>
            </w:r>
            <w:r>
              <w:rPr>
                <w:b/>
                <w:color w:val="000000"/>
              </w:rPr>
              <w:t>%)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Projektowana powierzchnia półprzepuszczalna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000000"/>
                <w:kern w:val="2"/>
                <w:sz w:val="18"/>
                <w:szCs w:val="18"/>
                <w:lang w:val="pl-PL" w:eastAsia="zh-CN" w:bidi="hi-IN"/>
              </w:rPr>
              <w:t>362,76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Istniejące utwardzenia podlegające wymianie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000000"/>
                <w:kern w:val="2"/>
                <w:sz w:val="18"/>
                <w:szCs w:val="18"/>
                <w:lang w:val="pl-PL" w:eastAsia="zh-CN" w:bidi="hi-IN"/>
              </w:rPr>
              <w:t>283,16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Projektowane miejsca parkingowe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000000"/>
                <w:kern w:val="2"/>
                <w:sz w:val="18"/>
                <w:szCs w:val="18"/>
                <w:lang w:val="pl-PL" w:eastAsia="zh-CN" w:bidi="hi-IN"/>
              </w:rPr>
              <w:t>108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  <w:t>9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  <w:t>Istniejące utwardzenia (chodniki)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000000"/>
                <w:kern w:val="2"/>
                <w:sz w:val="18"/>
                <w:szCs w:val="18"/>
                <w:lang w:val="pl-PL" w:eastAsia="zh-CN" w:bidi="hi-IN"/>
              </w:rPr>
              <w:t>249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  <w:t>10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  <w:t>Istniejące boiska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 w:ascii="Calibri" w:hAnsi="Calibri"/>
                <w:color w:val="000000"/>
                <w:kern w:val="2"/>
                <w:sz w:val="18"/>
                <w:szCs w:val="18"/>
                <w:lang w:val="pl-PL" w:eastAsia="zh-CN" w:bidi="hi-IN"/>
              </w:rPr>
              <w:t>2732,48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color w:val="auto"/>
                <w:kern w:val="2"/>
                <w:sz w:val="18"/>
                <w:szCs w:val="18"/>
                <w:lang w:val="pl-PL" w:eastAsia="zh-CN" w:bidi="hi-IN"/>
              </w:rPr>
              <w:t>11</w:t>
            </w:r>
          </w:p>
        </w:tc>
        <w:tc>
          <w:tcPr>
            <w:tcW w:w="36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Miejsce składowania odpadów stałych</w:t>
            </w:r>
          </w:p>
        </w:tc>
        <w:tc>
          <w:tcPr>
            <w:tcW w:w="29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NSimSun" w:cs="Arial" w:ascii="Calibri" w:hAnsi="Calibri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25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1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POW. BIOLOGICZNIE CZYNNA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>
              <w:rPr>
                <w:rFonts w:eastAsia="NSimSun" w:cs="Arial"/>
                <w:b/>
                <w:color w:val="000000"/>
                <w:kern w:val="2"/>
                <w:sz w:val="18"/>
                <w:szCs w:val="18"/>
                <w:lang w:val="pl-PL" w:eastAsia="zh-CN" w:bidi="hi-IN"/>
              </w:rPr>
              <w:t>275</w:t>
            </w:r>
            <w:r>
              <w:rPr>
                <w:b/>
                <w:color w:val="000000"/>
              </w:rPr>
              <w:t>,</w:t>
            </w:r>
            <w:r>
              <w:rPr>
                <w:rFonts w:eastAsia="NSimSun" w:cs="Arial"/>
                <w:b/>
                <w:color w:val="000000"/>
                <w:kern w:val="2"/>
                <w:sz w:val="18"/>
                <w:szCs w:val="18"/>
                <w:lang w:val="pl-PL" w:eastAsia="zh-CN" w:bidi="hi-IN"/>
              </w:rPr>
              <w:t>77</w:t>
            </w:r>
            <w:r>
              <w:rPr>
                <w:b/>
                <w:color w:val="000000"/>
              </w:rPr>
              <w:t xml:space="preserve"> (41,</w:t>
            </w:r>
            <w:r>
              <w:rPr>
                <w:rFonts w:eastAsia="NSimSun" w:cs="Arial"/>
                <w:b/>
                <w:color w:val="000000"/>
                <w:kern w:val="2"/>
                <w:sz w:val="18"/>
                <w:szCs w:val="18"/>
                <w:lang w:val="pl-PL" w:eastAsia="zh-CN" w:bidi="hi-IN"/>
              </w:rPr>
              <w:t>16</w:t>
            </w:r>
            <w:r>
              <w:rPr>
                <w:b/>
                <w:color w:val="000000"/>
              </w:rPr>
              <w:t>%)</w:t>
            </w:r>
          </w:p>
        </w:tc>
      </w:tr>
    </w:tbl>
    <w:p>
      <w:pPr>
        <w:pStyle w:val="Normal"/>
        <w:rPr>
          <w:spacing w:val="-4"/>
        </w:rPr>
      </w:pPr>
      <w:r>
        <w:rPr>
          <w:spacing w:val="-4"/>
        </w:rPr>
      </w:r>
    </w:p>
    <w:p>
      <w:pPr>
        <w:pStyle w:val="Normal"/>
        <w:rPr>
          <w:spacing w:val="-4"/>
        </w:rPr>
      </w:pPr>
      <w:r>
        <w:rPr>
          <w:spacing w:val="-4"/>
        </w:rPr>
      </w:r>
    </w:p>
    <w:p>
      <w:pPr>
        <w:pStyle w:val="Nagwek3"/>
        <w:rPr/>
      </w:pPr>
      <w:bookmarkStart w:id="17" w:name="__RefHeading___Toc9080_691895806"/>
      <w:bookmarkEnd w:id="17"/>
      <w:r>
        <w:rPr/>
        <w:t>Obsługa komunikacyjna projektowanej inwestycji</w:t>
      </w:r>
    </w:p>
    <w:p>
      <w:pPr>
        <w:pStyle w:val="Tretekstu"/>
        <w:rPr>
          <w:rFonts w:ascii="Calibri" w:hAnsi="Calibri"/>
        </w:rPr>
      </w:pPr>
      <w:r>
        <w:rPr>
          <w:rFonts w:eastAsia="NSimSun" w:cs="Arial" w:ascii="Calibri" w:hAnsi="Calibri"/>
          <w:color w:val="000000"/>
          <w:kern w:val="2"/>
          <w:sz w:val="20"/>
          <w:szCs w:val="20"/>
          <w:lang w:val="pl-PL" w:eastAsia="zh-CN" w:bidi="hi-IN"/>
        </w:rPr>
        <w:t>Obsługa komunikacyjna działki odbywa się projektowanym zjazdem z drogi publicznej ul. bocznej do al. Kopernika (K362643; dz. nr 13218/5 na dz. ewid. nr 13219/1) oraz 2 zjazdami z dróg publicznych ul. Stanisława Józefczaka:  istniejącym (K362635, dz. nr 13223/2 poprzez dz. ewid. nr 13219/2 i 13220/2) i projektowanym (K362635; dz. nr 13223/2 poprzez dz. ewid. nr 13219/2 i 13220/2).</w:t>
      </w:r>
      <w:r>
        <w:rPr>
          <w:rFonts w:ascii="Calibri" w:hAnsi="Calibri"/>
          <w:szCs w:val="20"/>
        </w:rPr>
        <w:t xml:space="preserve"> Dla zapewnienia dojazdu dla samochodów straży po</w:t>
      </w:r>
      <w:r>
        <w:rPr>
          <w:rFonts w:ascii="Calibri" w:hAnsi="Calibri"/>
          <w:color w:val="000000"/>
          <w:szCs w:val="20"/>
        </w:rPr>
        <w:t xml:space="preserve">żarnej zaprojektowano przestrzeń manewrową , która umożliwia przejazd pojazdów jednostek ratowniczych poprzez drogę p.poż. oraz następnie dojście do budynku o długości max. 30m. 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color w:val="000000"/>
          <w:szCs w:val="20"/>
        </w:rPr>
        <w:t xml:space="preserve">Dla właściwego funkcjonowania obiektu projektuje się </w:t>
      </w:r>
      <w:r>
        <w:rPr>
          <w:rFonts w:ascii="Calibri" w:hAnsi="Calibri"/>
          <w:szCs w:val="20"/>
        </w:rPr>
        <w:t xml:space="preserve">opaskę od zachodniej strony budynku. Spadki w przekroju podłużnym podążają za ukształtowaniem terenu, natomiast w przekroju poprzecznym projektuje się spadek 1% w kierunku od budynku. </w:t>
      </w:r>
    </w:p>
    <w:p>
      <w:pPr>
        <w:pStyle w:val="Nagwek3"/>
        <w:rPr/>
      </w:pPr>
      <w:bookmarkStart w:id="18" w:name="__RefHeading___Toc9082_691895806"/>
      <w:bookmarkEnd w:id="18"/>
      <w:r>
        <w:rPr/>
        <w:t>Szata roślinna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Na przedmiotowej działce występuje kolizja z zastanym drzewostanem w zakresie projektowanego budynku. Procedura zgody na wycięcie drzew będących w kolizji z planowaną inwestycją jest objęta odrębnym postępowaniem administracyjnym.</w:t>
      </w:r>
    </w:p>
    <w:p>
      <w:pPr>
        <w:pStyle w:val="Nagwek3"/>
        <w:rPr/>
      </w:pPr>
      <w:bookmarkStart w:id="19" w:name="__RefHeading___Toc9084_691895806"/>
      <w:bookmarkEnd w:id="19"/>
      <w:r>
        <w:rPr/>
        <w:t>Ograniczenia lub zakazów w zabudowie i zagospodarowaniu terenu wynikających z aktów prawa miejscowego lub decyzji o warunkach zabudowy i zagospodarowania terenu</w:t>
      </w:r>
    </w:p>
    <w:p>
      <w:pPr>
        <w:pStyle w:val="Tretekstu"/>
        <w:spacing w:before="0" w:after="56"/>
        <w:rPr/>
      </w:pPr>
      <w:r>
        <w:rPr>
          <w:rFonts w:ascii="Calibri" w:hAnsi="Calibri"/>
          <w:szCs w:val="20"/>
        </w:rPr>
        <w:t>Planowana inwestycja jest zgodna z uchwałą XI/100/2019 Rady Miasta Nowy Targ z 29.07.2019 r. w sprawie uchwalenia miejscowego planu zagospodarowania przestrzennego Nowy Targ 34 (Spółdzielnie mieszkaniowe):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§ 29.1 Wyznacza się teren usług publicznych, oznaczony na rysunku planu symbolem </w:t>
      </w:r>
      <w:r>
        <w:rPr>
          <w:rFonts w:ascii="Calibri" w:hAnsi="Calibri"/>
          <w:b/>
          <w:bCs/>
        </w:rPr>
        <w:t>4UP</w:t>
      </w:r>
      <w:r>
        <w:rPr>
          <w:rFonts w:ascii="Calibri" w:hAnsi="Calibri"/>
        </w:rPr>
        <w:t>, dla którego ustala się: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1) przeznaczenie podstawowe – usługi publiczne – </w:t>
      </w:r>
      <w:r>
        <w:rPr>
          <w:rFonts w:ascii="Calibri" w:hAnsi="Calibri"/>
          <w:b/>
          <w:bCs/>
        </w:rPr>
        <w:t>warunek spełniony (usługi oświaty)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§ 29. 3. Parametry i wskaźniki kształtowania zabudowy i zagospodarowania terenu: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1) wskaźnik intensywności zabudowy: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a) minimalna – 0,05 – </w:t>
      </w:r>
      <w:r>
        <w:rPr>
          <w:rFonts w:ascii="Calibri" w:hAnsi="Calibri"/>
          <w:b/>
          <w:bCs/>
        </w:rPr>
        <w:t>warunek spełniony (wynosi 0,25)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b) maksymalna – 0,30 – </w:t>
      </w:r>
      <w:r>
        <w:rPr>
          <w:rFonts w:ascii="Calibri" w:hAnsi="Calibri"/>
          <w:b/>
          <w:bCs/>
        </w:rPr>
        <w:t>warunek spełniony (wynosi 0,25)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 xml:space="preserve">2) powierzchnia zabudowy – maksymalnie 30% powierzchni działki budowlanej – </w:t>
      </w:r>
      <w:r>
        <w:rPr>
          <w:rFonts w:ascii="Calibri" w:hAnsi="Calibri"/>
          <w:b/>
          <w:bCs/>
        </w:rPr>
        <w:t>warunek spełniony (wynosi 25,05%)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 xml:space="preserve">3) powierzchnia biologicznie czynna – minimalnie 40% powierzchni działki budowlanej – </w:t>
      </w:r>
      <w:r>
        <w:rPr>
          <w:rFonts w:ascii="Calibri" w:hAnsi="Calibri"/>
          <w:b/>
          <w:bCs/>
        </w:rPr>
        <w:t>warunek spełniony (wynosi 41,</w:t>
      </w:r>
      <w:r>
        <w:rPr>
          <w:rFonts w:eastAsia="NSimSun" w:cs="Arial" w:ascii="Calibri" w:hAnsi="Calibri"/>
          <w:b/>
          <w:bCs/>
          <w:color w:val="auto"/>
          <w:kern w:val="2"/>
          <w:sz w:val="20"/>
          <w:szCs w:val="18"/>
          <w:lang w:val="pl-PL" w:eastAsia="zh-CN" w:bidi="hi-IN"/>
        </w:rPr>
        <w:t>16</w:t>
      </w:r>
      <w:r>
        <w:rPr>
          <w:rFonts w:ascii="Calibri" w:hAnsi="Calibri"/>
          <w:b/>
          <w:bCs/>
        </w:rPr>
        <w:t>%)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4) maksymalna wysokosć zabudowy: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a) 12 m  – </w:t>
      </w:r>
      <w:r>
        <w:rPr>
          <w:rFonts w:ascii="Calibri" w:hAnsi="Calibri"/>
          <w:b/>
          <w:bCs/>
        </w:rPr>
        <w:t>warunek spełniony (wysokość wynosi 11,24 m w attyce)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 xml:space="preserve">5) szerokość elewacji frontowej budynków nie większa niż 100 m – </w:t>
      </w:r>
      <w:r>
        <w:rPr>
          <w:rFonts w:ascii="Calibri" w:hAnsi="Calibri"/>
          <w:b/>
          <w:bCs/>
        </w:rPr>
        <w:t>warunek spełniony (szerokość elewacji frontowej wynosi 69,55 m)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6) geometria dachów: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 xml:space="preserve">a) dachy płaskie </w:t>
      </w:r>
      <w:r>
        <w:rPr>
          <w:rFonts w:ascii="Calibri" w:hAnsi="Calibri"/>
          <w:b/>
          <w:bCs/>
        </w:rPr>
        <w:t>– warunek spełniony (dachy płaskie o spadku 2°=3,49%)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 xml:space="preserve">7) kolorystyka pokryć dachowych – barwy w odcieniach koloru brązowego i grafitowego </w:t>
      </w:r>
      <w:r>
        <w:rPr>
          <w:rFonts w:ascii="Calibri" w:hAnsi="Calibri"/>
          <w:b/>
          <w:bCs/>
        </w:rPr>
        <w:t>– warunek spełniony (kolor grafitowy)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§ 29. 4. W zakresie miejsc postojowych: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1) przy realizacji inwestycji wymagane jest zapewnienie miejsc postojowych, zrealizowanych na terenie inwestycji, w ilości niezbędnej dla obsługi, lecz nie mniejszej niż 1 miejsce postojowe na każde 50 m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 xml:space="preserve"> powierzchni użytkowej lub 2 miejsca postojowe na 10 zatrudnionych, ale nie mniej niż 1 miejsce postojowe </w:t>
      </w:r>
      <w:r>
        <w:rPr>
          <w:rFonts w:ascii="Calibri" w:hAnsi="Calibri"/>
          <w:b/>
          <w:bCs/>
        </w:rPr>
        <w:t>– warunek spełniony (zaprojektowano 6 miejsc postojowych dla 30 zatrudnionych). Miejscowy plan nie precyzuje czy projektowane miejsca postojowe mają być dla samochodów osobowych czy dla osó</w:t>
      </w:r>
      <w:r>
        <w:rPr>
          <w:rFonts w:eastAsia="NSimSun" w:cs="Arial" w:ascii="Calibri" w:hAnsi="Calibri"/>
          <w:b/>
          <w:bCs/>
          <w:color w:val="auto"/>
          <w:kern w:val="2"/>
          <w:sz w:val="20"/>
          <w:szCs w:val="18"/>
          <w:lang w:val="pl-PL" w:eastAsia="zh-CN" w:bidi="hi-IN"/>
        </w:rPr>
        <w:t>b</w:t>
      </w:r>
      <w:r>
        <w:rPr>
          <w:rFonts w:ascii="Calibri" w:hAnsi="Calibri"/>
          <w:b/>
          <w:bCs/>
        </w:rPr>
        <w:t xml:space="preserve"> niepełnosprawnych – projektowane miejsca zostały zaprojektowane w sposób zgodny z przepisami z uwzględnieniem możliwości </w:t>
      </w:r>
      <w:r>
        <w:rPr>
          <w:rFonts w:eastAsia="NSimSun" w:cs="Arial" w:ascii="Calibri" w:hAnsi="Calibri"/>
          <w:b/>
          <w:bCs/>
          <w:color w:val="auto"/>
          <w:kern w:val="2"/>
          <w:sz w:val="20"/>
          <w:szCs w:val="18"/>
          <w:lang w:val="pl-PL" w:eastAsia="zh-CN" w:bidi="hi-IN"/>
        </w:rPr>
        <w:t>na projektowanym terenie.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20" w:name="__RefHeading___Toc9086_691895806"/>
      <w:bookmarkEnd w:id="20"/>
      <w:r>
        <w:rPr/>
        <w:t>OCHRONA KONSERWATORSKA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Obszar nie jest położony w strefie ochrony konserwatorskiej ani wpisany do rejestru zabytków, zatem nie ma wymogu ścisłej ochrony konserwatorskiej na zasadach określonych w przepisach odrębnych dotyczących ochrony zabytków i opieki nad zabytkami.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21" w:name="__RefHeading___Toc9088_691895806"/>
      <w:bookmarkEnd w:id="21"/>
      <w:r>
        <w:rPr/>
        <w:t>PRZEWIDYWANA ILOŚĆ WYKORZYSTYWANEJ WODY I INNYCH WYKORZYSTYWANYCH SUROWCÓW, MATERIAŁÓW, PALIW I ENERGII.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Projekt zawiera rozwiązania infrastruktury instalacyjnej ze sposobem jej funkcjonowania, rozplanowania i ułożenia. Trasy instalacji zewnętrznych zostały przedstawione na rysunku PZT_01 – Projekt zagospodarowania terenu.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W ramach ww. inwestycji przewiduje się rozbudowę obecnie istniejących urządzeń budowlanych. Przyłączenie obiektu do sieci zewnętrznych będzie odbywać się na dotychczasowych zasadach. Projektuje się rozbudowę i przebudowę istniejących instalacji zewnętrznych na działce: instalacji wodociągowej, instalacji kanalizacji sanitarnej – odprowadzenie ścieków do istniejącej studni kanalizacyjnej.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 xml:space="preserve">Instalacje elektryczne - zasilanie budynku jest z istniejącego przyłącza.  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Urządzenia infrastruktury technicznej projektowane są wyłącznie jako podziemne, zgodnie z wymogami określonymi                 w przepisach szczególnych, w uzgodnieniu z dysponentami poszczególnych sieci, za zgodą na warunkach określonych przez zarządcę lub właściciela nieruchomości.</w:t>
      </w:r>
    </w:p>
    <w:p>
      <w:pPr>
        <w:pStyle w:val="Tretekstu"/>
        <w:spacing w:before="0" w:after="56"/>
        <w:rPr/>
      </w:pPr>
      <w:r>
        <w:rPr>
          <w:rFonts w:eastAsia="NSimSun" w:cs="Arial" w:ascii="Calibri" w:hAnsi="Calibri"/>
          <w:color w:val="auto"/>
          <w:kern w:val="2"/>
          <w:sz w:val="20"/>
          <w:szCs w:val="18"/>
          <w:lang w:val="pl-PL" w:eastAsia="zh-CN" w:bidi="hi-IN"/>
        </w:rPr>
        <w:t xml:space="preserve">Wymagana ilość wody do celów przeciwpożarowych dla budynku łącznie 20 dm3/s z co najmniej dwóch hydrantów o średnicy 80 mm lub 200 m3 zapasu wody w przeciwpożarowym zbiorniku wodnym – zakłada się zaopatrzenie z jednego istniejącego hydrantu zewnętrznego DN 80 z sieci miejskiej, zlokalizowanego w odległości od 5 m do 75 m od projektowanego obiektu. Pozostałą brakującą ilość </w:t>
      </w:r>
      <w:r>
        <w:rPr>
          <w:rFonts w:eastAsia="NSimSun" w:cs="Tahoma" w:ascii="Calibri" w:hAnsi="Calibri"/>
          <w:color w:val="auto"/>
          <w:kern w:val="2"/>
          <w:sz w:val="20"/>
          <w:szCs w:val="18"/>
          <w:lang w:val="pl-PL" w:eastAsia="zh-CN" w:bidi="hi-IN"/>
        </w:rPr>
        <w:t>10 l/s zapewniono poprzez zaprojektowany 1 hydrant zewnętrzny dn 80 zasilany z podziemnego zbiornika p.poż. betonowego o pojemności użytkowej 100 m3 poprzez zestaw hydroforowy zlokalizowany w studzience.</w:t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ab/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Zakres projektu obejmuje zagospodarowanie terenu działek należącej do Inwestora. Przyłączenie do sieci wodociągowej, kanalizacji sanitarnej i deszczowej – z istniejących przyłączy, elektroenergetycznej – z istniejącego przyłącza.</w:t>
      </w:r>
    </w:p>
    <w:p>
      <w:pPr>
        <w:pStyle w:val="Tretekstu"/>
        <w:spacing w:before="0" w:after="56"/>
        <w:rPr/>
      </w:pPr>
      <w:r>
        <w:rPr/>
      </w:r>
    </w:p>
    <w:p>
      <w:pPr>
        <w:pStyle w:val="Tretekstu"/>
        <w:spacing w:before="0" w:after="56"/>
        <w:rPr/>
      </w:pPr>
      <w:r>
        <w:rPr>
          <w:rFonts w:ascii="Calibri" w:hAnsi="Calibri"/>
        </w:rPr>
        <w:t>Odpady stałe gromadzone będą w przeznaczonych do tego pojemnikach z uwzględnieniem segregacji surowców wtórnych i wywożone przez wyspecjalizowane służby. Zaprojektowano wiat</w:t>
      </w:r>
      <w:r>
        <w:rPr>
          <w:rFonts w:eastAsia="NSimSun" w:cs="Arial" w:ascii="Calibri" w:hAnsi="Calibri"/>
          <w:color w:val="auto"/>
          <w:kern w:val="2"/>
          <w:sz w:val="20"/>
          <w:szCs w:val="18"/>
          <w:lang w:val="pl-PL" w:eastAsia="zh-CN" w:bidi="hi-IN"/>
        </w:rPr>
        <w:t>ę</w:t>
      </w:r>
      <w:r>
        <w:rPr>
          <w:rFonts w:ascii="Calibri" w:hAnsi="Calibri"/>
        </w:rPr>
        <w:t xml:space="preserve"> śmietnikową  mocowaną bezpośrednio do kostki brukowej.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22" w:name="__RefHeading___Toc9090_691895806"/>
      <w:bookmarkEnd w:id="22"/>
      <w:r>
        <w:rPr/>
        <w:t>RODZAJ I PRZEWIDYWANA ILOŚĆ WPROWADZANYCH DO ŚRODOWISKA SUBSTANCJI LUB ENERGII PRZY ZASTOSOWANIU ROZWIĄZAŃ CHRONIĄCYCH ŚRODOWISKO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  <w:szCs w:val="20"/>
        </w:rPr>
        <w:t>Nie przewiduje się wprowadzania żadnych zanieczyszczeń związanych z funkcjonowaniem obiektu. Wytwarzane odpady komunalne będą gromadzone selektywnie w oznaczonych pojemnikach i wywożone przez wyspecjalizowane służby. Zaprojektowano wiat</w:t>
      </w:r>
      <w:r>
        <w:rPr>
          <w:rFonts w:eastAsia="NSimSun" w:cs="Arial" w:ascii="Calibri" w:hAnsi="Calibri"/>
          <w:color w:val="auto"/>
          <w:kern w:val="2"/>
          <w:sz w:val="20"/>
          <w:szCs w:val="18"/>
          <w:lang w:val="pl-PL" w:eastAsia="zh-CN" w:bidi="hi-IN"/>
        </w:rPr>
        <w:t>ę</w:t>
      </w:r>
      <w:r>
        <w:rPr>
          <w:rFonts w:ascii="Calibri" w:hAnsi="Calibri"/>
          <w:szCs w:val="20"/>
        </w:rPr>
        <w:t xml:space="preserve"> śmietnikową  mocowaną bezpośrednio do kostki brukowej.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  <w:szCs w:val="20"/>
        </w:rPr>
        <w:t xml:space="preserve">Ścieki sanitarne – odprowadzane będą do kanalizacji sanitarnej. 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  <w:szCs w:val="20"/>
        </w:rPr>
        <w:t>Planowane jest odprowadzenie wód opadowych, wód roztopowych z powierzchni z dachów budynków  do przyłącza kanalizacji deszczowej na dotychczasowych zasadach.</w:t>
      </w:r>
    </w:p>
    <w:p>
      <w:pPr>
        <w:pStyle w:val="Tretekstu"/>
        <w:rPr>
          <w:rFonts w:ascii="Calibri" w:hAnsi="Calibri"/>
          <w:spacing w:val="-4"/>
          <w:szCs w:val="20"/>
        </w:rPr>
      </w:pPr>
      <w:r>
        <w:rPr>
          <w:rFonts w:ascii="Calibri" w:hAnsi="Calibri"/>
          <w:spacing w:val="-4"/>
          <w:szCs w:val="20"/>
        </w:rPr>
      </w:r>
    </w:p>
    <w:p>
      <w:pPr>
        <w:pStyle w:val="Nagwek3"/>
        <w:rPr/>
      </w:pPr>
      <w:bookmarkStart w:id="23" w:name="__RefHeading___Toc9092_691895806"/>
      <w:bookmarkEnd w:id="23"/>
      <w:r>
        <w:rPr/>
        <w:t>Wpływ eksploatacji górniczej na działkę lub teren zamierzenia budowlanego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Nie podlega wpływom eksploatacji górniczej.</w:t>
      </w:r>
    </w:p>
    <w:p>
      <w:pPr>
        <w:pStyle w:val="Tretekstu"/>
        <w:spacing w:before="0" w:after="56"/>
        <w:rPr>
          <w:rFonts w:ascii="Calibri" w:hAnsi="Calibri"/>
          <w:spacing w:val="-4"/>
          <w:sz w:val="18"/>
        </w:rPr>
      </w:pPr>
      <w:r>
        <w:rPr>
          <w:rFonts w:ascii="Calibri" w:hAnsi="Calibri"/>
          <w:spacing w:val="-4"/>
          <w:sz w:val="18"/>
        </w:rPr>
      </w:r>
    </w:p>
    <w:p>
      <w:pPr>
        <w:pStyle w:val="Nagwek3"/>
        <w:rPr/>
      </w:pPr>
      <w:bookmarkStart w:id="24" w:name="__RefHeading___Toc9094_691895806"/>
      <w:bookmarkEnd w:id="24"/>
      <w:r>
        <w:rPr/>
        <w:t>Charakter, cechy istniejących i przewidywanych zagrożeń dla środowiska oraz higieny i zdrowia użytkowników projektowanych obiektów budowlanych i ich otoczenia w zakresie zgodnym z przepisami odrębnymi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>Planowana inwestycja nie jest wymieniona w Rozporządzeniu Rady Ministrów z dnia 10 września 2019 w sprawie przedsięwzięć mogących znacząco oddziaływać na środowisko, jako taka która ma znaczny wpływ na środowisko. Parametry inwestycji nie osiągają progów wymienionych w Rozporządzeniu.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>Planowana inwestycja nie wpływa negatywnie na wody podziemne (Rozporządzenie Ministra Gospodarki Morskiej i Żeglugi Śródlądowej z dnia 11 października 2019 r. w sprawie kryteriów i sposobu oceny stanu jednolitych części wód podziemnych).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>Planowana inwestycja nie wpływa negatywnie na standardy gleby i jakość ziemi (Rozporządzenie Ministra Środowiska z dnia 1 września 2016 r. w sprawie sposobu prowadzenia oceny zanieczyszczenia powierzchni ziemi).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>Planowana inwestycja nie znajduje się na obszarze Natura 2000.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 xml:space="preserve">Planowana inwestycja nie stanowi zagrożenia dla otoczenia pod względem emisji hałasu (Rozporządzenie Ministra Środowiska z dnia 14 czerwca 2007 r. w sprawie dopuszczalnych poziomów hałasu w środowisku). Projektowany budynek spełnia normy hałasu w zakresie zabudowy jednorodzinnej i wielorodzinnej (dopuszczalny poziom hałasu do 50 dB w ciągu dnia i 40 dB w ciągu nocy). 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t xml:space="preserve">    • </w:t>
      </w:r>
      <w:r>
        <w:rPr>
          <w:rFonts w:ascii="Calibri" w:hAnsi="Calibri"/>
          <w:szCs w:val="20"/>
        </w:rPr>
        <w:t>Planowana inwestycja nie stanowi zagrożenia dla otoczenia ze względu na emisję zanieczyszczeń do powietrza atmosferycznego (Rozporządzenie Ministra Środowiska z dnia 24 sierpnia 2012 r. w sprawie poziomów niektórych substancji w powietrzu).</w:t>
      </w:r>
    </w:p>
    <w:p>
      <w:pPr>
        <w:pStyle w:val="Tretekstu"/>
        <w:rPr>
          <w:szCs w:val="20"/>
        </w:rPr>
      </w:pPr>
      <w:r>
        <w:rPr>
          <w:rFonts w:ascii="Calibri" w:hAnsi="Calibri"/>
          <w:szCs w:val="20"/>
        </w:rPr>
        <w:br/>
      </w:r>
      <w:r>
        <w:rPr>
          <w:rFonts w:ascii="Calibri" w:hAnsi="Calibri"/>
          <w:szCs w:val="20"/>
          <w:u w:val="single"/>
        </w:rPr>
        <w:t>Planowana inwestycja nie oddziałuje na środowisko.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25" w:name="__RefHeading___Toc9124_691895806"/>
      <w:bookmarkEnd w:id="25"/>
      <w:r>
        <w:rPr/>
        <w:t>INNE NIEZBĘDNE DANE WYNIKAJĄCE ZE SPECYFIKACJI, CHARAKTERU I STOPNIA SKOMPLIKOWANIA OBIEKTU BUDOWLANEGO LUB ROBÓT BUDOWLANYCH</w:t>
      </w:r>
    </w:p>
    <w:p>
      <w:pPr>
        <w:pStyle w:val="Nagwek3"/>
        <w:rPr/>
      </w:pPr>
      <w:bookmarkStart w:id="26" w:name="__RefHeading___Toc9126_691895806"/>
      <w:bookmarkEnd w:id="26"/>
      <w:r>
        <w:rPr/>
        <w:t>Etapy przedsięwzięcia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Przedsięwzięcie realizowane będzie na terenie już zmienionym poprzez ingerencję człowieka i funkcjonującym jako kompleks szkolny.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Realizacja obiektu znacząco podniesie jakość bazy szkolnej dla mieszkańców.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Nie przewiduje się etapowania inwestycji.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  <w:t>Zakres inwestycji został przedstawiony na rysunku PZT-01_Projekt zagospodarowania terenu.</w:t>
      </w:r>
    </w:p>
    <w:p>
      <w:pPr>
        <w:pStyle w:val="Tretekstu"/>
        <w:spacing w:before="0" w:after="56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3"/>
        <w:rPr/>
      </w:pPr>
      <w:bookmarkStart w:id="27" w:name="__RefHeading___Toc9128_691895806"/>
      <w:bookmarkEnd w:id="27"/>
      <w:r>
        <w:rPr/>
        <w:t>Rozwiązania chroniące środowisko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Dla realizacji obiektów nie przewiduje się specjalnych rozwiązań chroniących środowisko. Prace budowlane nie będą stanowiły zagrożenia dla środowiska.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28" w:name="__RefHeading___Toc9130_691895806"/>
      <w:bookmarkEnd w:id="28"/>
      <w:r>
        <w:rPr/>
        <w:t>INFORMACJE O OBSZARZE ODDZIAŁYWANIA OBIEKTU</w:t>
      </w:r>
    </w:p>
    <w:p>
      <w:pPr>
        <w:pStyle w:val="Nagwek3"/>
        <w:rPr/>
      </w:pPr>
      <w:bookmarkStart w:id="29" w:name="__RefHeading___Toc9132_691895806"/>
      <w:bookmarkEnd w:id="29"/>
      <w:r>
        <w:rPr/>
        <w:t>Wskazanie przepisów prawa w oparciu o które dokonano określenia obszaru oddziaływania obiektu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 xml:space="preserve">Analiza Rozporządzenia Ministra Infrastruktury z dnia 12 kwietnia 2002 r. w sprawie warunków technicznych, jakim powinny odpowiadać budynki i ich usytuowanie (Dz.U. z 2022, poz. 1225 z późn. zmianami) pod kątem wyznaczenia w </w:t>
      </w:r>
      <w:r>
        <w:rPr>
          <w:rFonts w:ascii="Calibri" w:hAnsi="Calibri"/>
          <w:color w:val="000000"/>
        </w:rPr>
        <w:t>otoczeniu obiektu budowlanego terenu, na który obiekt oddziałuje wprowadzając ograniczenia w jego zagospodarowaniu (definicja obszaru oddziaływania obiektu na podstawie zapisów art. 3 pkt 20 ustawy z dnia 7 lipca 1994 r. Prawo budowlane ), § 13.1, §18, §19, §20, § 23.1, § 60, , § 271- 273.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  <w:color w:val="000000"/>
        </w:rPr>
        <w:t>Ustawa z dnia 7 lipca 1994 r. Prawo budowlane (Dz. U. z 1994, tj. Dz.U. 2021 poz. 2351 oraz 2022 poz. 88) – art. 28 ust 2, art. 3 pkt 20, art. 20 ust.1 pkt 1)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  <w:color w:val="000000"/>
        </w:rPr>
        <w:t>Kodeks postępowania administracyjnego (Dz.U. 1960,  t.j. Dz.U.2021 poz. 735) – art. 28, art. 10 §1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  <w:color w:val="000000"/>
        </w:rPr>
        <w:t>Ustawa z dnia 21 m</w:t>
      </w:r>
      <w:r>
        <w:rPr>
          <w:rFonts w:ascii="Calibri" w:hAnsi="Calibri"/>
        </w:rPr>
        <w:t>arca 1985 r. o drogach publicznych (Dz. U. z 20</w:t>
      </w:r>
      <w:r>
        <w:rPr>
          <w:rFonts w:ascii="Calibri" w:hAnsi="Calibri"/>
          <w:color w:val="000000"/>
        </w:rPr>
        <w:t>22</w:t>
      </w:r>
      <w:r>
        <w:rPr>
          <w:rFonts w:ascii="Calibri" w:hAnsi="Calibri"/>
        </w:rPr>
        <w:t xml:space="preserve"> r., poz. </w:t>
      </w:r>
      <w:r>
        <w:rPr>
          <w:rFonts w:ascii="Calibri" w:hAnsi="Calibri"/>
          <w:color w:val="000000"/>
        </w:rPr>
        <w:t xml:space="preserve">1693 </w:t>
      </w:r>
      <w:r>
        <w:rPr>
          <w:rFonts w:ascii="Calibri" w:hAnsi="Calibri"/>
        </w:rPr>
        <w:t>z późn. zmianami) - art. 35, art. 38, art. 39, art. 43.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 xml:space="preserve">Ustawa z dnia 27 kwietnia 2001 r. Prawo ochrony środowiska (Dz. U. </w:t>
      </w:r>
      <w:r>
        <w:rPr>
          <w:rFonts w:ascii="Calibri" w:hAnsi="Calibri"/>
          <w:color w:val="000000"/>
        </w:rPr>
        <w:t>Z 2022</w:t>
      </w:r>
      <w:r>
        <w:rPr>
          <w:rFonts w:ascii="Calibri" w:hAnsi="Calibri"/>
        </w:rPr>
        <w:t xml:space="preserve">, poz. </w:t>
      </w:r>
      <w:r>
        <w:rPr>
          <w:rFonts w:ascii="Calibri" w:hAnsi="Calibri"/>
          <w:color w:val="000000"/>
        </w:rPr>
        <w:t>2556</w:t>
      </w:r>
      <w:r>
        <w:rPr>
          <w:rFonts w:ascii="Calibri" w:hAnsi="Calibri"/>
        </w:rPr>
        <w:t xml:space="preserve"> z późn. zmianami) - art. 135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 xml:space="preserve">Rozporządzenie Rady Ministrów z </w:t>
      </w:r>
      <w:r>
        <w:rPr>
          <w:rFonts w:ascii="Calibri" w:hAnsi="Calibri"/>
          <w:color w:val="000000"/>
        </w:rPr>
        <w:t>10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/>
        </w:rPr>
        <w:t>września</w:t>
      </w:r>
      <w:r>
        <w:rPr>
          <w:rFonts w:ascii="Calibri" w:hAnsi="Calibri"/>
        </w:rPr>
        <w:t xml:space="preserve"> 201</w:t>
      </w:r>
      <w:r>
        <w:rPr>
          <w:rFonts w:ascii="Calibri" w:hAnsi="Calibri"/>
          <w:color w:val="000000"/>
        </w:rPr>
        <w:t>9</w:t>
      </w:r>
      <w:r>
        <w:rPr>
          <w:rFonts w:ascii="Calibri" w:hAnsi="Calibri"/>
        </w:rPr>
        <w:t xml:space="preserve"> r. w sprawie przedsięwzięć mogących znacząco oddziaływać na środowisko (Dz. U. z 2019 r. , poz. 1</w:t>
      </w:r>
      <w:r>
        <w:rPr>
          <w:rFonts w:ascii="Calibri" w:hAnsi="Calibri"/>
          <w:color w:val="000000"/>
        </w:rPr>
        <w:t>839</w:t>
      </w:r>
      <w:r>
        <w:rPr>
          <w:rFonts w:ascii="Calibri" w:hAnsi="Calibri"/>
        </w:rPr>
        <w:t xml:space="preserve"> z późn. zmianami) § 2 i § 3</w:t>
      </w:r>
    </w:p>
    <w:p>
      <w:pPr>
        <w:pStyle w:val="Tretekstu"/>
        <w:numPr>
          <w:ilvl w:val="0"/>
          <w:numId w:val="4"/>
        </w:numPr>
        <w:spacing w:before="0" w:after="0"/>
        <w:rPr>
          <w:rFonts w:ascii="Calibri" w:hAnsi="Calibri"/>
        </w:rPr>
      </w:pPr>
      <w:r>
        <w:rPr>
          <w:rFonts w:ascii="Calibri" w:hAnsi="Calibri"/>
        </w:rPr>
        <w:t>Załącznik do Rozporządzenia Ministra Środowiska z dnia 14 czerwca 2007 r. w sprawie dopuszczalnych poziomów hałasu w środowisku (Dz. U. z 20</w:t>
      </w:r>
      <w:r>
        <w:rPr>
          <w:rFonts w:ascii="Calibri" w:hAnsi="Calibri"/>
          <w:color w:val="000000"/>
        </w:rPr>
        <w:t>14</w:t>
      </w:r>
      <w:r>
        <w:rPr>
          <w:rFonts w:ascii="Calibri" w:hAnsi="Calibri"/>
        </w:rPr>
        <w:t xml:space="preserve"> r. poz. </w:t>
      </w:r>
      <w:r>
        <w:rPr>
          <w:rFonts w:ascii="Calibri" w:hAnsi="Calibri"/>
          <w:color w:val="000000"/>
        </w:rPr>
        <w:t>112</w:t>
      </w:r>
      <w:r>
        <w:rPr>
          <w:rFonts w:ascii="Calibri" w:hAnsi="Calibri"/>
        </w:rPr>
        <w:t xml:space="preserve"> z późn. </w:t>
      </w:r>
      <w:r>
        <w:rPr>
          <w:rFonts w:ascii="Calibri" w:hAnsi="Calibri"/>
          <w:color w:val="000000"/>
        </w:rPr>
        <w:t>Z</w:t>
      </w:r>
      <w:r>
        <w:rPr>
          <w:rFonts w:ascii="Calibri" w:hAnsi="Calibri"/>
        </w:rPr>
        <w:t>mianami)</w:t>
      </w:r>
    </w:p>
    <w:p>
      <w:pPr>
        <w:pStyle w:val="Nagwek3"/>
        <w:rPr/>
      </w:pPr>
      <w:bookmarkStart w:id="30" w:name="__RefHeading___Toc9134_691895806"/>
      <w:bookmarkEnd w:id="30"/>
      <w:r>
        <w:rPr/>
        <w:t>Zasięg obszaru oddziaływania obiektu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  <w:t>Zgodnie z analizą powyższych aktów prawnych oraz informacjami uzyskanymi od Inwestora na temat zastosowanej technologii ustalono, iż obszar oddziaływania obiektu mieści się w całości na terenie, na którym obiekt został zaprojektowany, czyli na działkach nr 13219/1, 13220/6, 13220/1.</w:t>
      </w:r>
    </w:p>
    <w:p>
      <w:pPr>
        <w:pStyle w:val="Nagwek3"/>
        <w:rPr/>
      </w:pPr>
      <w:bookmarkStart w:id="31" w:name="__RefHeading___Toc1271_1293844344"/>
      <w:bookmarkEnd w:id="31"/>
      <w:r>
        <w:rPr/>
        <w:t>Analiza zacienienia i przesłaniania dla obiektów na działkach sąsiednich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Projektowany obiekt jest zlokalizowany od granic działek sąsiednich w odległościach zgodnych z zapisami warunków technicznych i przepisami prawa dotyczącymi czasu przesłaniania. Gabaryty budynku, jak i jego wysokość, zgodne są z zapisami miejscowego planu. </w:t>
      </w:r>
      <w:r>
        <w:rPr>
          <w:rFonts w:eastAsia="Arial" w:cs="Calibri" w:ascii="Calibri" w:hAnsi="Calibri"/>
          <w:b w:val="false"/>
          <w:color w:val="000000"/>
          <w:kern w:val="2"/>
          <w:sz w:val="20"/>
          <w:szCs w:val="18"/>
          <w:lang w:val="pl-PL" w:eastAsia="hi-IN" w:bidi="hi-IN"/>
        </w:rPr>
        <w:t>Analiza znajduje si</w:t>
      </w:r>
      <w:r>
        <w:rPr>
          <w:rFonts w:eastAsia="Arial" w:cs="Calibri" w:ascii="Calibri" w:hAnsi="Calibri"/>
          <w:color w:val="000000"/>
          <w:lang w:eastAsia="hi-IN"/>
        </w:rPr>
        <w:t>ę w tomie II.</w:t>
      </w:r>
    </w:p>
    <w:p>
      <w:pPr>
        <w:pStyle w:val="Tretekstu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</w:r>
    </w:p>
    <w:p>
      <w:pPr>
        <w:pStyle w:val="Nagwek2"/>
        <w:rPr/>
      </w:pPr>
      <w:bookmarkStart w:id="32" w:name="__RefHeading___Toc1273_1293844344"/>
      <w:bookmarkEnd w:id="32"/>
      <w:r>
        <w:rPr/>
        <w:t>PRZYSTOSOWANIE OBIEKTU DO PORUSZANIA SIĘ OSÓB NIEPEŁNOSPRAWNYCH</w:t>
      </w:r>
    </w:p>
    <w:p>
      <w:pPr>
        <w:pStyle w:val="Tretekstu"/>
        <w:rPr/>
      </w:pPr>
      <w:r>
        <w:rPr>
          <w:rFonts w:ascii="Calibri" w:hAnsi="Calibri"/>
        </w:rPr>
        <w:t xml:space="preserve">Zgodnie z obowiązującymi przepisami, obiekt został przystosowany do poruszania się osób niepełnosprawnych, poprzez wejścia do budynku z poziomu terenu, zapewnienie dostępu do pomieszczeń użytkowanych przez osoby niepełnosprawne poprzez windę i zaprojektowanie pomieszczeń sanitarnych (WC) spełniających wymogi dla osób niepełnosprawnych. </w:t>
      </w:r>
      <w:r>
        <w:rPr>
          <w:rFonts w:eastAsia="NSimSun" w:cs="Arial" w:ascii="Calibri" w:hAnsi="Calibri"/>
          <w:b w:val="false"/>
          <w:color w:val="auto"/>
          <w:kern w:val="2"/>
          <w:sz w:val="20"/>
          <w:szCs w:val="18"/>
          <w:lang w:val="pl-PL" w:eastAsia="zh-CN" w:bidi="hi-IN"/>
        </w:rPr>
        <w:t>Należy zapewnić przynajmniej 1 krzesło do ewakuacji osób niepełnosprawnych.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33" w:name="__RefHeading___Toc1277_1293844344"/>
      <w:bookmarkEnd w:id="33"/>
      <w:r>
        <w:rPr/>
        <w:t>INSTALACJE SANITARNE</w:t>
      </w:r>
    </w:p>
    <w:p>
      <w:pPr>
        <w:pStyle w:val="Nagwek3"/>
        <w:rPr/>
      </w:pPr>
      <w:bookmarkStart w:id="34" w:name="__RefHeading___Toc10158_1639221441"/>
      <w:bookmarkEnd w:id="34"/>
      <w:r>
        <w:rPr/>
        <w:t>Parametry techniczne sieci i urządzeń uzbrojenia terenu – kanalizacja sanitarna</w:t>
      </w:r>
    </w:p>
    <w:p>
      <w:pPr>
        <w:pStyle w:val="Nagwek3"/>
        <w:numPr>
          <w:ilvl w:val="0"/>
          <w:numId w:val="0"/>
        </w:numPr>
        <w:ind w:left="0" w:hanging="0"/>
        <w:rPr/>
      </w:pPr>
      <w:bookmarkStart w:id="35" w:name="__RefHeading___Toc1728_1780923049"/>
      <w:bookmarkEnd w:id="35"/>
      <w:r>
        <w:rPr/>
        <w:t>Odbiornik ścieków sanitarnych</w:t>
      </w:r>
    </w:p>
    <w:p>
      <w:pPr>
        <w:pStyle w:val="Tretekstu"/>
        <w:rPr/>
      </w:pPr>
      <w:r>
        <w:rPr>
          <w:rFonts w:ascii="Calibri" w:hAnsi="Calibri"/>
        </w:rPr>
        <w:t>Ścieki sanitarne z budynku odprowadzane będą grawitacyjnie do istniejącej zewnętrznej instalacji kanalizacji sanitarnej. Zewnętrzną instalację kanalizacyjną grawitacyjną wykonać z rur PVC-U klasy S SDR34 SN8 o litej strukturze ścianki, łączonych na kielich z uszczelką. Na kanalizacji sanitarnej projektuje się zamontować studzienki kanalizacyjne betonowe.</w:t>
      </w:r>
    </w:p>
    <w:p>
      <w:pPr>
        <w:pStyle w:val="Nagwek3"/>
        <w:numPr>
          <w:ilvl w:val="0"/>
          <w:numId w:val="0"/>
        </w:numPr>
        <w:ind w:left="0" w:hanging="0"/>
        <w:jc w:val="both"/>
        <w:rPr/>
      </w:pPr>
      <w:bookmarkStart w:id="36" w:name="__RefHeading___Toc10160_1639221441"/>
      <w:bookmarkEnd w:id="36"/>
      <w:r>
        <w:rPr/>
        <w:t>Kanały sanitarne grawitacyjne</w:t>
      </w:r>
    </w:p>
    <w:p>
      <w:pPr>
        <w:pStyle w:val="Tretekstu"/>
        <w:rPr/>
      </w:pPr>
      <w:r>
        <w:rPr>
          <w:rFonts w:ascii="Calibri" w:hAnsi="Calibri"/>
        </w:rPr>
        <w:t>Zewnętrzną instalacje kanalizacyjną należy wykonać z rur PVC-U klasy S SDR34 o litej strukturze ścianki, łączonych na kielich z uszczelką.</w:t>
      </w:r>
    </w:p>
    <w:p>
      <w:pPr>
        <w:pStyle w:val="Nagwek3"/>
        <w:numPr>
          <w:ilvl w:val="0"/>
          <w:numId w:val="0"/>
        </w:numPr>
        <w:ind w:left="0" w:hanging="0"/>
        <w:jc w:val="both"/>
        <w:rPr/>
      </w:pPr>
      <w:bookmarkStart w:id="37" w:name="__RefHeading___Toc5059_1715093656"/>
      <w:bookmarkEnd w:id="37"/>
      <w:r>
        <w:rPr/>
        <w:t>Studnie kanalizacyjne</w:t>
      </w:r>
    </w:p>
    <w:p>
      <w:pPr>
        <w:pStyle w:val="Tretekstu"/>
        <w:rPr/>
      </w:pPr>
      <w:r>
        <w:rPr>
          <w:rFonts w:ascii="Calibri" w:hAnsi="Calibri"/>
        </w:rPr>
        <w:t>Na kanalizacji sanitarnej projektuje się studzienki kanalizacyjne betonowe DN 1000 mm.</w:t>
      </w:r>
    </w:p>
    <w:p>
      <w:pPr>
        <w:pStyle w:val="Nagwek3"/>
        <w:numPr>
          <w:ilvl w:val="0"/>
          <w:numId w:val="0"/>
        </w:numPr>
        <w:ind w:left="0" w:hanging="0"/>
        <w:jc w:val="both"/>
        <w:rPr/>
      </w:pPr>
      <w:bookmarkStart w:id="38" w:name="__RefHeading___Toc10162_1639221441"/>
      <w:bookmarkEnd w:id="38"/>
      <w:r>
        <w:rPr/>
        <w:t>Roboty ziemne</w:t>
      </w:r>
    </w:p>
    <w:p>
      <w:pPr>
        <w:pStyle w:val="Tretekstu"/>
        <w:rPr>
          <w:rFonts w:ascii="Calibri" w:hAnsi="Calibri"/>
        </w:rPr>
      </w:pPr>
      <w:r>
        <w:rPr>
          <w:rFonts w:cs="Tahoma" w:ascii="Calibri" w:hAnsi="Calibri"/>
          <w:szCs w:val="20"/>
        </w:rPr>
        <w:t>Roboty ziemne pod projektowane przyłącze należy wykonywać mechanicznie, a w miejscach kolizji z istniejącym uzbrojeniem podziemnym ręcznie. Wykop wykonywać jako wąskoprzestrzenny z pełnym umocnieniem, zachowując szerokość wykopu równą 0,8 m. Rurociąg układać na 10 cm podsypce piaskowo-żwirowej z materiału stabilizowanego ze spadkiem w kierunku istniejącego wodociągu (zgodnie z norma PN-EN 1610 pkt. 7).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Zasypywanie przewodu nie powinno spowodować jego uszkodzenia. Grubość warstwy ochronnej zasypu ponad wierzch przewodu powinna wynosić 30 cm.  Zasypka wstępna powinna być wykonana i zagęszczona ręcznie. Zasypkę główną należy wykonywać mechanicznie, warstwowo, z zagęszczeniem odpowiednim do przeznaczenia terenu. Materiał zasypu powinien być nieskalisty, bez gruzu i kamieni, sypki, drobno- lub średnioziarnisty. Stopień zagęszczenia gruntu: pod drogami Is=0,98, dla terenów zielonych Is=0,95. Oznaczenie wskaźnika zagęszczenia gruntu zgodnie z normą BN-77/8931-12. Badania zagęszczenia gruntu wykonywać metodą płyty dynamicznej.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Przejście przewodu pod fundamentem wykonać w rurze ochronnej o średnicy minimalnej 1,5 x D</w:t>
      </w:r>
      <w:r>
        <w:rPr>
          <w:rFonts w:cs="Tahoma"/>
          <w:sz w:val="20"/>
          <w:szCs w:val="20"/>
          <w:vertAlign w:val="subscript"/>
        </w:rPr>
        <w:t>przewodu</w:t>
      </w:r>
      <w:r>
        <w:rPr>
          <w:rFonts w:cs="Tahoma"/>
          <w:sz w:val="20"/>
          <w:szCs w:val="20"/>
        </w:rPr>
        <w:t xml:space="preserve">i obsypać obsypką żwirową. </w:t>
      </w:r>
    </w:p>
    <w:p>
      <w:pPr>
        <w:pStyle w:val="Tretekstu"/>
        <w:rPr>
          <w:rFonts w:ascii="Calibri" w:hAnsi="Calibri"/>
        </w:rPr>
      </w:pPr>
      <w:r>
        <w:rPr>
          <w:rFonts w:cs="Tahoma" w:ascii="Calibri" w:hAnsi="Calibri"/>
          <w:szCs w:val="20"/>
        </w:rPr>
        <w:t>Trasę przewodów oznakować brązową taśmą lokalizacyjną z PVC z wkładką metaliczną ułożoną 30 cm nad wierzchem rury.</w:t>
      </w:r>
    </w:p>
    <w:p>
      <w:pPr>
        <w:pStyle w:val="Nagwek3"/>
        <w:rPr/>
      </w:pPr>
      <w:bookmarkStart w:id="39" w:name="__RefHeading___Toc1730_1780923049"/>
      <w:bookmarkEnd w:id="39"/>
      <w:r>
        <w:rPr/>
        <w:t xml:space="preserve">Parametry techniczne sieci i urządzeń uzbrojenia terenu – </w:t>
      </w:r>
      <w:r>
        <w:rPr>
          <w:rFonts w:eastAsia="Microsoft YaHei" w:cs="Arial"/>
          <w:b/>
          <w:bCs/>
          <w:color w:val="auto"/>
          <w:kern w:val="2"/>
          <w:sz w:val="22"/>
          <w:szCs w:val="20"/>
          <w:lang w:val="pl-PL" w:eastAsia="zh-CN" w:bidi="hi-IN"/>
        </w:rPr>
        <w:t>zewnętrzna instalacja wodociągowa</w:t>
      </w:r>
    </w:p>
    <w:p>
      <w:pPr>
        <w:pStyle w:val="Nagwek3"/>
        <w:numPr>
          <w:ilvl w:val="0"/>
          <w:numId w:val="0"/>
        </w:numPr>
        <w:ind w:left="0" w:hanging="0"/>
        <w:rPr/>
      </w:pPr>
      <w:bookmarkStart w:id="40" w:name="__RefHeading___Toc9184_2432315680"/>
      <w:bookmarkEnd w:id="40"/>
      <w:r>
        <w:rPr/>
        <w:t>Opis rozwiązań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W celu likwidacji kolizji instalacji wodociągowej z projektowanym budynkiem zaprojektowano przebudowę istniejącej instalacji wodociągowej. Zewnętrzną instalacje wodociągową wykonać należy z rur ciśnieniowych PE100 SDR17 i SDR11. Przebieg instalacji przedstawiono na rysunku planu zagospodarowania terenu. Dodatkowo  w celu zapewnienia wody na cele zewnętrznego gaszenia pożaru w ilości 10 l/s zaprojektowano hydrant zewnętrzny </w:t>
      </w:r>
      <w:r>
        <w:rPr>
          <w:rFonts w:eastAsia="NSimSun" w:cs="Tahoma"/>
          <w:color w:val="auto"/>
          <w:kern w:val="2"/>
          <w:sz w:val="20"/>
          <w:szCs w:val="20"/>
          <w:lang w:val="pl-PL" w:eastAsia="zh-CN" w:bidi="hi-IN"/>
        </w:rPr>
        <w:t>DN</w:t>
      </w:r>
      <w:r>
        <w:rPr>
          <w:rFonts w:cs="Tahoma"/>
          <w:sz w:val="20"/>
          <w:szCs w:val="20"/>
        </w:rPr>
        <w:t xml:space="preserve"> 80 zasilany z podziemnego zbiornika p.poż. betonowego o pojemności użytkowej 10</w:t>
      </w:r>
      <w:r>
        <w:rPr>
          <w:rFonts w:eastAsia="NSimSun" w:cs="Tahoma"/>
          <w:color w:val="auto"/>
          <w:kern w:val="2"/>
          <w:sz w:val="20"/>
          <w:szCs w:val="20"/>
          <w:lang w:val="pl-PL" w:eastAsia="zh-CN" w:bidi="hi-IN"/>
        </w:rPr>
        <w:t>0</w:t>
      </w:r>
      <w:r>
        <w:rPr>
          <w:rFonts w:cs="Tahoma"/>
          <w:sz w:val="20"/>
          <w:szCs w:val="20"/>
        </w:rPr>
        <w:t xml:space="preserve"> m3 poprzez zestaw hydroforowy zlokalizowany w studzience.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Parametry techniczne zestawu hydroforowego, wyposażenie: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wydajność : 10 l/s H= 30 mH2O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wysokość podnoszenia : 30 mH2O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liczba pomp : 3 szt.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fabryczny układ automatyki: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Wyposażenie i  parametry techniczne studzienki hydroforowej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oświetlenie o natężenie 200 lux, oświetlenie awaryjne 25 lux na przynajmniej 60 minut działania bez dostawy prądu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grzejnik elektryczny 1500 W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osuszacz powietrza o wydajności min. 20 m3/h dla f2000mm,  min 30 m3/h dla f 2600mm,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min. 40 m3/h dla f3000 mm o mocy do 0,7 kW,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pompa odwodnieniowa o mocy do 1,0 kW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komora hydroforu szczelna    monolityczna  wyposażona  w  stopnie  złazowe,  króćce  technologiczne  i uchwyty montażowe.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  zwieńczenie wykonane z płyty ze wzmocnieniem z ociepleniem styropianem o grubości 10 cm  i  wyposażone  w  pokrywy  włazowe  (również  ocieplone)    oraz  komiki  wentylacyjne  i  króćce technologiczne.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 dno studni przystosowane do montażu pompowego, wyposażone w rząpie z rury DN400 SDR17, wyposażone w komorę dociążającą  z króćcami.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 całość łączona w technologii spawania ekstruzyjnego od wewnątrz i od zewnątrz. 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Rury z których wykonano korpus komory/studni oraz elementy systemu muszą bezwzględnie posiadać KOT  ITB i IBDiM– rury, kształtki, studnie. 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-   w  przypadku  posadowienia  komory   w  strefie  występowania  wysokiego  poziomu  wód gruntowych producent musi dostarczyć obliczenia lub narzędzie do ich wykonania w zakresie sprawdzenia stateczności posadowienia zbiornika ze względu na warunek wyporu.  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>- Konstrukcja  komory musi zapewniać możliwość  posadowienia  na  trudnym, mniej  stabilnym podłożu  bez konieczności  stosowania  betonowej  ławy  fundamentowej,  co  ogranicza konieczność  użycia  ciężkiego  sprzętu budowlanego  i  wykonania  tymczasowych  dróg dojazdowych.</w:t>
      </w:r>
    </w:p>
    <w:p>
      <w:pPr>
        <w:pStyle w:val="Nagwek3"/>
        <w:rPr/>
      </w:pPr>
      <w:bookmarkStart w:id="41" w:name="__RefHeading___Toc9186_2432315680"/>
      <w:bookmarkEnd w:id="41"/>
      <w:r>
        <w:rPr/>
        <w:t>Parametry techniczne sieci i urządzeń uzbrojenia terenu – kanalizacja deszczowa</w:t>
      </w:r>
    </w:p>
    <w:p>
      <w:pPr>
        <w:pStyle w:val="Nagwek3"/>
        <w:numPr>
          <w:ilvl w:val="0"/>
          <w:numId w:val="0"/>
        </w:numPr>
        <w:ind w:left="0" w:hanging="0"/>
        <w:rPr/>
      </w:pPr>
      <w:bookmarkStart w:id="42" w:name="__RefHeading___Toc1734_1780923049"/>
      <w:bookmarkEnd w:id="42"/>
      <w:r>
        <w:rPr/>
        <w:t>Opis rozwiązań</w:t>
      </w:r>
    </w:p>
    <w:p>
      <w:pPr>
        <w:pStyle w:val="Normal"/>
        <w:jc w:val="both"/>
        <w:rPr/>
      </w:pPr>
      <w:r>
        <w:rPr>
          <w:rFonts w:cs="Tahoma"/>
          <w:sz w:val="20"/>
          <w:szCs w:val="20"/>
        </w:rPr>
        <w:t xml:space="preserve">Wody </w:t>
      </w:r>
      <w:r>
        <w:rPr>
          <w:rFonts w:cs="Tahoma"/>
          <w:color w:val="000000"/>
          <w:sz w:val="20"/>
          <w:szCs w:val="20"/>
        </w:rPr>
        <w:t xml:space="preserve">opadowe z projektowanego dachu budynku odprowadzone będą do istniejącej instalacji deszczowej zlokalizowanej na terenie inwestora. Dla potrzeb projektowanej instalacji przewidziano retencje rurową poprzez zastosowanie rurociągów PP dn 1000. Dodatkowo w celu odprowadzenia wód deszczowych z projektowanej retencji zaprojektowano przepompownie wód deszczowych.  W zakresie projektu przewidziano przebudowę zewnętrznej kanalizacji deszczowej będącej w kolizji z projektowanym budynkiem.  </w:t>
      </w:r>
    </w:p>
    <w:p>
      <w:pPr>
        <w:pStyle w:val="Nagwek3"/>
        <w:numPr>
          <w:ilvl w:val="0"/>
          <w:numId w:val="0"/>
        </w:numPr>
        <w:ind w:left="0" w:hanging="0"/>
        <w:jc w:val="both"/>
        <w:rPr/>
      </w:pPr>
      <w:bookmarkStart w:id="43" w:name="__RefHeading___Toc1736_1780923049"/>
      <w:bookmarkEnd w:id="43"/>
      <w:r>
        <w:rPr/>
        <w:t>Rurociągi kanalizacyjne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Instalacje kanalizacji deszczowej wykonać z rur PVC-U SDR34 oraz z PP-B (polipropylen kopolimer blokowy) o sztywności obwodowej minimum SN 8 . Rurociągi ciśnieniowe wykonac z rur  PEHD-SDR17.</w:t>
      </w:r>
    </w:p>
    <w:p>
      <w:pPr>
        <w:pStyle w:val="Nagwek3"/>
        <w:numPr>
          <w:ilvl w:val="0"/>
          <w:numId w:val="0"/>
        </w:numPr>
        <w:ind w:left="0" w:hanging="0"/>
        <w:jc w:val="both"/>
        <w:rPr/>
      </w:pPr>
      <w:bookmarkStart w:id="44" w:name="__RefHeading___Toc1738_1780923049"/>
      <w:bookmarkEnd w:id="44"/>
      <w:r>
        <w:rPr/>
        <w:t>Roboty ziemne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 xml:space="preserve">Roboty ziemne pod projektowane przyłącze należy wykonywać mechanicznie, a w miejscach kolizji z istniejącym uzbrojeniem podziemnym ręcznie. Wykop wykonywać jako wąskoprzestrzenny z pełnym umocnieniem, zachowując szerokość wykopu równą 0,8 m. Rurociąg układać na 10 cm podsypce piaskowo-żwirowej ze spadkiem w kierunku istniejącego wodociągu (zgodnie z norma PN-EN 1610 pkt. 7). Zasypywanie przewodu nie powinno spowodować jego uszkodzenia. Grubość warstwy ochronnej zasypu ponad wierzch przewodu powinna wynosić 30 cm.  Zasypka wstępna powinna być wykonana i zagęszczona ręcznie. 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Zasypkę główną należy wykonywać mechanicznie, warstwowo, z zagęszczeniem odpowiednim do przeznaczenia terenu. Materiał zasypu powinien być nieskalisty, bez gruzu i kamieni, sypki, drobno- lub średnioziarnisty. Stopień zagęszczenia gruntu: pod drogami Is=0,98 dla terenów zielonych Is=0,95. Oznaczenie wskaźnika zagęszczenia gruntu zgodnie z normą BN-77/8931-12. Badania zagęszczenia gruntu wykonywać metodą płyty dynamicznej.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 xml:space="preserve">Przejście przewodu pod fundamentem wykonać w rurze ochronnej o średnicy minimalnej 1,5 x Dprzewodu i obsypać obsypką żwirową. </w:t>
      </w:r>
    </w:p>
    <w:p>
      <w:pPr>
        <w:pStyle w:val="Tretekstu"/>
        <w:rPr/>
      </w:pPr>
      <w:r>
        <w:rPr>
          <w:rFonts w:eastAsia="Microsoft YaHei" w:ascii="Calibri" w:hAnsi="Calibri"/>
          <w:sz w:val="22"/>
          <w:szCs w:val="20"/>
        </w:rPr>
        <w:t>Trasę przewodów oznakować brązową taśmą lokalizacyjną z PVC z wkładką metaliczną ułożoną 30 cm nad wierzchem rury.</w:t>
      </w:r>
    </w:p>
    <w:p>
      <w:pPr>
        <w:pStyle w:val="Nagwek3"/>
        <w:jc w:val="both"/>
        <w:rPr/>
      </w:pPr>
      <w:bookmarkStart w:id="45" w:name="__RefHeading___Toc1748_1780923049"/>
      <w:bookmarkEnd w:id="45"/>
      <w:r>
        <w:rPr/>
        <w:t xml:space="preserve">Instalacje wewnętrzne – instalacja wodociągowa </w:t>
      </w:r>
    </w:p>
    <w:p>
      <w:pPr>
        <w:pStyle w:val="Tretekstu"/>
        <w:rPr>
          <w:rFonts w:ascii="Calibri" w:hAnsi="Calibri" w:eastAsia="Microsoft YaHei"/>
          <w:sz w:val="22"/>
          <w:szCs w:val="20"/>
        </w:rPr>
      </w:pPr>
      <w:r>
        <w:rPr>
          <w:rFonts w:eastAsia="Microsoft YaHei" w:ascii="Calibri" w:hAnsi="Calibri"/>
          <w:sz w:val="22"/>
          <w:szCs w:val="20"/>
        </w:rPr>
        <w:t xml:space="preserve">Woda na cele socjalne oraz p.poż. (hydranty wewnętrzne) dostarczana będzie z istniejącej wewnętrznej instalacji wodociągowej. </w:t>
      </w:r>
    </w:p>
    <w:p>
      <w:pPr>
        <w:pStyle w:val="Tretekstu"/>
        <w:rPr>
          <w:rFonts w:ascii="Calibri" w:hAnsi="Calibri" w:eastAsia="Microsoft YaHei"/>
          <w:sz w:val="22"/>
          <w:szCs w:val="20"/>
        </w:rPr>
      </w:pPr>
      <w:r>
        <w:rPr>
          <w:rFonts w:eastAsia="Microsoft YaHei" w:ascii="Calibri" w:hAnsi="Calibri"/>
          <w:sz w:val="22"/>
          <w:szCs w:val="20"/>
        </w:rPr>
        <w:t>Ciepła woda na potrzeby punktów czerpalnych przygotowywana będzie centralnie w podgrzewaczach pojemnościowych. Obieg ciepłej wody w budynku zapewni instalacja cyrkulacyjna, której przepływ wymuszony będzie pompą cyrkulacyjną. Instalację wody użytkowej należy projektować z rur PE-RT/AL/PE-HD, łączonych poprzez systemowe kształtki.</w:t>
      </w:r>
    </w:p>
    <w:p>
      <w:pPr>
        <w:pStyle w:val="Tretekstu"/>
        <w:rPr>
          <w:rFonts w:ascii="Calibri" w:hAnsi="Calibri" w:eastAsia="Microsoft YaHei"/>
          <w:sz w:val="22"/>
          <w:szCs w:val="20"/>
        </w:rPr>
      </w:pPr>
      <w:r>
        <w:rPr>
          <w:rFonts w:eastAsia="Microsoft YaHei" w:ascii="Calibri" w:hAnsi="Calibri"/>
          <w:sz w:val="22"/>
          <w:szCs w:val="20"/>
        </w:rPr>
        <w:tab/>
        <w:t xml:space="preserve">W budynku zastosowano hydranty wewnętrzne dn 25. Instalacje hydrantową wykonać z rur stalowych obustronnie ocynkowanych. </w:t>
      </w:r>
    </w:p>
    <w:p>
      <w:pPr>
        <w:pStyle w:val="Nagwek3"/>
        <w:jc w:val="both"/>
        <w:rPr/>
      </w:pPr>
      <w:bookmarkStart w:id="46" w:name="__RefHeading___Toc1750_1780923049"/>
      <w:bookmarkEnd w:id="46"/>
      <w:r>
        <w:rPr/>
        <w:t>Instalacje wewnętrzne – instalacja kanalizacji sanitarnej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 xml:space="preserve">Ścieki odprowadzane będą do istniejącej sieci kanalizacyjnej. Instalację kanalizacyjną należy wykonać z rur PVC łączonych na kielichy metodą wciskową z uszczelkami gumowymi w zakresie średnic Ø50 do Ø160. Projektowaną kanalizację podłączyć do podejść kanalizacji sanitarnej podposadzkowej.  Trasy prowadzenia rurociągów i średnice w projekcie technicznym. Wszystkie przejścia instalacji kanalizacyjnych przez przegrody budowlane wykonać w tulejach osłonowych. Wszystkie przejścia przez przegrody pożarowe należy wykonać w klasie ochronności ogniowej takiej jak przegroda przy pomocy obejm ogniochronnych. </w:t>
      </w:r>
    </w:p>
    <w:p>
      <w:pPr>
        <w:pStyle w:val="Nagwek3"/>
        <w:jc w:val="both"/>
        <w:rPr/>
      </w:pPr>
      <w:bookmarkStart w:id="47" w:name="__RefHeading___Toc1752_1780923049"/>
      <w:bookmarkEnd w:id="47"/>
      <w:r>
        <w:rPr/>
        <w:t>Instalacje wewnętrzne – instalacja grzewcza</w:t>
      </w:r>
    </w:p>
    <w:p>
      <w:pPr>
        <w:pStyle w:val="Tretekstu"/>
        <w:rPr>
          <w:rFonts w:ascii="Calibri" w:hAnsi="Calibri" w:cs="Tahoma"/>
          <w:color w:val="000000"/>
          <w:szCs w:val="20"/>
        </w:rPr>
      </w:pPr>
      <w:r>
        <w:rPr>
          <w:rFonts w:eastAsia="Microsoft YaHei" w:ascii="Calibri" w:hAnsi="Calibri"/>
          <w:sz w:val="22"/>
          <w:szCs w:val="20"/>
        </w:rPr>
        <w:t xml:space="preserve">Pomieszczenia projektowanego budynku ogrzewana będą poprzez ogrzewanie podłogowe. Źródłem ciepła dla zaprojektowanej instalacji grzewczej będzie zestaw powietrznych pomp ciepła. </w:t>
      </w:r>
    </w:p>
    <w:p>
      <w:pPr>
        <w:pStyle w:val="Tretekstu"/>
        <w:rPr>
          <w:rFonts w:ascii="Calibri" w:hAnsi="Calibri" w:cs="Tahoma"/>
          <w:color w:val="000000"/>
          <w:szCs w:val="20"/>
        </w:rPr>
      </w:pPr>
      <w:r>
        <w:rPr>
          <w:rFonts w:eastAsia="Microsoft YaHei" w:ascii="Calibri" w:hAnsi="Calibri"/>
          <w:sz w:val="22"/>
          <w:szCs w:val="20"/>
        </w:rPr>
        <w:t xml:space="preserve">Pomieszczenie Sali sportowej ogrzewane będzie poprzez instalacje wentylacji mechanicznej. </w:t>
      </w:r>
    </w:p>
    <w:p>
      <w:pPr>
        <w:pStyle w:val="Nagwek3"/>
        <w:jc w:val="both"/>
        <w:rPr/>
      </w:pPr>
      <w:bookmarkStart w:id="48" w:name="__RefHeading___Toc1754_1780923049"/>
      <w:bookmarkEnd w:id="48"/>
      <w:r>
        <w:rPr/>
        <w:t>Instalacje wewnętrzne – instalacja wentylacji</w:t>
      </w:r>
    </w:p>
    <w:p>
      <w:pPr>
        <w:pStyle w:val="Normal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W obiekcie przewiduje się wentylację mechaniczną: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nawiewno-wywiewną dla pomieszczeń socjalnych, komunikacji, szatniach, w sali sportowej</w:t>
      </w:r>
    </w:p>
    <w:p>
      <w:pPr>
        <w:pStyle w:val="Normal"/>
        <w:spacing w:lineRule="auto" w:line="276"/>
        <w:ind w:firstLine="360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Nawiew powietrza realizowany będzie za pomocą nawiewników sufitowych czterokierunkowych ze skrzynkami rozprężnymi, nawiewników wirowych z puszkami rozpręznymi oraz anemostatów kołowych nawiewnych. Wywiew powietrza realizowany będzie za pomocą wywiewników sufitowych perforowanych ze skrzynkami rozprężnymi, kratek wywiewnych oraz anemostatów kołowych wywiewnych.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 xml:space="preserve">wywiewną z toalet, pomieszczeń gospodarczych </w:t>
      </w:r>
    </w:p>
    <w:p>
      <w:pPr>
        <w:pStyle w:val="Normal"/>
        <w:ind w:firstLine="360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Wywiew powietrza realizowany będzie za pomocą układu wentylacyjnego wywiewnego zakończonego wentylatorem dachowym.</w:t>
      </w:r>
    </w:p>
    <w:p>
      <w:pPr>
        <w:pStyle w:val="Normal"/>
        <w:ind w:firstLine="360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Minimalna ilość powietrza wentylacyjnego, higienicznego w pomieszczeniach została przyjęta na poziomie 30 m</w:t>
      </w:r>
      <w:r>
        <w:rPr>
          <w:rFonts w:cs="Tahoma"/>
          <w:color w:val="000000"/>
          <w:sz w:val="20"/>
          <w:szCs w:val="20"/>
          <w:vertAlign w:val="superscript"/>
        </w:rPr>
        <w:t>3</w:t>
      </w:r>
      <w:r>
        <w:rPr>
          <w:rFonts w:cs="Tahoma"/>
          <w:color w:val="000000"/>
          <w:sz w:val="20"/>
          <w:szCs w:val="20"/>
        </w:rPr>
        <w:t>/h na osobę.</w:t>
      </w:r>
    </w:p>
    <w:p>
      <w:pPr>
        <w:pStyle w:val="Normal"/>
        <w:ind w:firstLine="360"/>
        <w:jc w:val="both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>Ilość powietrza wentylacyjnego w pomieszczeniach higieniczno-sanitarnych odniesioną do przyboru sanitarnego przyjęto na poziomie: pisuar 30 m</w:t>
      </w:r>
      <w:r>
        <w:rPr>
          <w:rFonts w:cs="Tahoma"/>
          <w:color w:val="000000"/>
          <w:sz w:val="20"/>
          <w:szCs w:val="20"/>
          <w:vertAlign w:val="superscript"/>
        </w:rPr>
        <w:t>3</w:t>
      </w:r>
      <w:r>
        <w:rPr>
          <w:rFonts w:cs="Tahoma"/>
          <w:color w:val="000000"/>
          <w:sz w:val="20"/>
          <w:szCs w:val="20"/>
        </w:rPr>
        <w:t>/h, miska ustępowa 50 m</w:t>
      </w:r>
      <w:r>
        <w:rPr>
          <w:rFonts w:cs="Tahoma"/>
          <w:color w:val="000000"/>
          <w:sz w:val="20"/>
          <w:szCs w:val="20"/>
          <w:vertAlign w:val="superscript"/>
        </w:rPr>
        <w:t>3</w:t>
      </w:r>
      <w:r>
        <w:rPr>
          <w:rFonts w:cs="Tahoma"/>
          <w:color w:val="000000"/>
          <w:sz w:val="20"/>
          <w:szCs w:val="20"/>
        </w:rPr>
        <w:t xml:space="preserve">/h;. ilość powietrza wentylacyjnego na potrzeby wentylacji pomieszczeń szatni odpowiadająca 4 krotnej wymianie powietrza. </w:t>
      </w:r>
    </w:p>
    <w:p>
      <w:pPr>
        <w:pStyle w:val="Normal"/>
        <w:ind w:firstLine="360"/>
        <w:jc w:val="both"/>
        <w:rPr>
          <w:rFonts w:cs="Tahoma"/>
          <w:color w:val="000000"/>
          <w:sz w:val="20"/>
          <w:szCs w:val="20"/>
        </w:rPr>
      </w:pPr>
      <w:r>
        <w:rPr/>
      </w:r>
    </w:p>
    <w:p>
      <w:pPr>
        <w:pStyle w:val="ListParagraph"/>
        <w:ind w:hanging="0"/>
        <w:rPr>
          <w:rFonts w:eastAsia="Microsoft YaHei"/>
          <w:b/>
          <w:b/>
          <w:bCs/>
          <w:sz w:val="20"/>
          <w:szCs w:val="20"/>
        </w:rPr>
      </w:pPr>
      <w:bookmarkStart w:id="49" w:name="__RefHeading___Toc10168_1639221441"/>
      <w:bookmarkEnd w:id="49"/>
      <w:r>
        <w:rPr>
          <w:rFonts w:eastAsia="Microsoft YaHei"/>
          <w:b/>
          <w:bCs/>
          <w:sz w:val="20"/>
          <w:szCs w:val="20"/>
        </w:rPr>
        <w:t>Wykonanie i eksploatacji instalacji</w:t>
      </w:r>
    </w:p>
    <w:p>
      <w:pPr>
        <w:pStyle w:val="ListParagraph"/>
        <w:ind w:left="0" w:hanging="0"/>
        <w:rPr/>
      </w:pPr>
      <w:r>
        <w:rPr>
          <w:rFonts w:cs="Tahoma"/>
          <w:sz w:val="20"/>
          <w:szCs w:val="20"/>
          <w:lang w:eastAsia="pl-PL"/>
        </w:rPr>
        <w:t>Wszystkie zastosowane materiały i urządzenia muszą być dopuszczone do obrotu i powszechnego lub jednostkowego stosowania w budownictwie (certyfikat na znak bezpieczeństwa bądź certyfikat zgodności z Polską Normą lub z aprobatą techniczną).</w:t>
      </w:r>
    </w:p>
    <w:p>
      <w:pPr>
        <w:pStyle w:val="ListParagraph"/>
        <w:ind w:left="0" w:hanging="0"/>
        <w:rPr/>
      </w:pPr>
      <w:r>
        <w:rPr>
          <w:rFonts w:cs="Tahoma"/>
          <w:sz w:val="20"/>
          <w:szCs w:val="20"/>
          <w:lang w:eastAsia="pl-PL"/>
        </w:rPr>
        <w:t>Montaż rurociągów i urządzeń musi być prowadzony przez firmę posiadającą odpowiednie uprawnienia i zgodnie z obowiązującymi przepisami BHP.</w:t>
      </w:r>
    </w:p>
    <w:p>
      <w:pPr>
        <w:pStyle w:val="ListParagraph"/>
        <w:ind w:left="0" w:hanging="0"/>
        <w:rPr/>
      </w:pPr>
      <w:r>
        <w:rPr>
          <w:rFonts w:cs="Tahoma"/>
          <w:sz w:val="20"/>
          <w:szCs w:val="20"/>
          <w:lang w:eastAsia="pl-PL"/>
        </w:rPr>
        <w:t>Załoga obsługująca i konserwująca musi być przeszkolona pod względem obowiązujących przepisów BHP.</w:t>
      </w:r>
    </w:p>
    <w:p>
      <w:pPr>
        <w:pStyle w:val="ListParagraph"/>
        <w:ind w:left="0" w:hanging="0"/>
        <w:rPr/>
      </w:pPr>
      <w:r>
        <w:rPr>
          <w:rFonts w:cs="Tahoma"/>
          <w:sz w:val="20"/>
          <w:szCs w:val="20"/>
          <w:lang w:eastAsia="pl-PL"/>
        </w:rPr>
        <w:t>Wszystkie zaprojektowane urządzenia należy eksploatować i konserwować zgodnie z DTR producentów i obowiązującymi przepisami BHP.</w:t>
      </w:r>
    </w:p>
    <w:p>
      <w:pPr>
        <w:pStyle w:val="ListParagraph"/>
        <w:ind w:left="0" w:hanging="0"/>
        <w:rPr/>
      </w:pPr>
      <w:r>
        <w:rPr>
          <w:rFonts w:cs="Tahoma"/>
          <w:sz w:val="20"/>
          <w:szCs w:val="20"/>
          <w:lang w:eastAsia="pl-PL"/>
        </w:rPr>
        <w:t>Przed przystąpieniem do montażu należy dokładnie zapoznać się z niniejszym projektem, zarówno rysunkami, jak i opisem oraz przeprowadzić wizję lokalną na obiekcie. Zapoznać się z DTR urządzeń oraz wszystkich komponentów użytych w projektowanych instalacjach.</w:t>
      </w:r>
    </w:p>
    <w:p>
      <w:pPr>
        <w:pStyle w:val="ListParagraph"/>
        <w:ind w:left="0" w:hanging="0"/>
        <w:jc w:val="both"/>
        <w:rPr>
          <w:rFonts w:eastAsia="Microsoft YaHei" w:cs="Tahoma"/>
          <w:color w:val="000000"/>
          <w:sz w:val="20"/>
          <w:szCs w:val="20"/>
        </w:rPr>
      </w:pPr>
      <w:r>
        <w:rPr>
          <w:rFonts w:eastAsia="Microsoft YaHei" w:cs="Tahoma"/>
          <w:color w:val="000000"/>
          <w:sz w:val="20"/>
          <w:szCs w:val="20"/>
          <w:lang w:eastAsia="pl-PL"/>
        </w:rPr>
        <w:t>Instalacje wykonać zgodnie z „Warunkami technicznymi wykonania i odbioru robót budowlano-montażowych, Tom II, Instalacje sanitarne i przemysłowe”, COBRTI INSTAL i instrukcjami producentów urządzeń.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50" w:name="__RefHeading___Toc1756_1780923049"/>
      <w:bookmarkEnd w:id="50"/>
      <w:r>
        <w:rPr/>
        <w:t>INSTALACJE ELEKTRYCZNE</w:t>
      </w:r>
    </w:p>
    <w:p>
      <w:pPr>
        <w:pStyle w:val="Nagwek3"/>
        <w:rPr/>
      </w:pPr>
      <w:bookmarkStart w:id="51" w:name="__RefHeading___Toc10170_1639221441"/>
      <w:bookmarkEnd w:id="51"/>
      <w:r>
        <w:rPr>
          <w:sz w:val="20"/>
        </w:rPr>
        <w:t>Parametry techniczne sieci i urządzeń uzbrojenia terenu</w:t>
      </w:r>
    </w:p>
    <w:p>
      <w:pPr>
        <w:pStyle w:val="Tretekstu"/>
        <w:rPr/>
      </w:pPr>
      <w:r>
        <w:rPr>
          <w:rFonts w:ascii="Calibri" w:hAnsi="Calibri"/>
          <w:szCs w:val="20"/>
        </w:rPr>
        <w:t>Instalacja zasilania budynku wykonana będzie w układzie TN-C, a sieć odbiorcza niskiego napięcia w układzie TN-S. Zasilanie budynku odbywać się będzie ze złącza kablowego zlokalizowanego na terenie działki Inwestora.</w:t>
      </w:r>
    </w:p>
    <w:p>
      <w:pPr>
        <w:pStyle w:val="Tretekstu"/>
        <w:rPr/>
      </w:pPr>
      <w:r>
        <w:rPr>
          <w:rFonts w:ascii="Calibri" w:hAnsi="Calibri"/>
          <w:szCs w:val="20"/>
        </w:rPr>
        <w:t xml:space="preserve">W terenie zewnętrznym projektuje się złącze kablowe, rozdzielnicę elektryczną, kable elektroenergetyczne sieci nn, instalację oświetlenia zewnętrznego, kanalizację kablową, studnie kablowe oraz przepusty kablowe umożliwiające wprowadzenie okablowania do budynku. W terenie zewnętrznym kable i przewody w miejscach przecisków, zbliżeń lub w terenie utwardzonym układać w rurkach typu SRS/DVK/DVR o właściwej średnicy. </w:t>
      </w:r>
    </w:p>
    <w:p>
      <w:pPr>
        <w:pStyle w:val="Nagwek3"/>
        <w:rPr/>
      </w:pPr>
      <w:bookmarkStart w:id="52" w:name="__RefHeading___Toc10172_1639221441"/>
      <w:bookmarkEnd w:id="52"/>
      <w:r>
        <w:rPr>
          <w:sz w:val="20"/>
        </w:rPr>
        <w:t>Dane dotyczące warunków ochrony przeciwpożarowej, stosownie do zakresu projektu</w:t>
      </w:r>
    </w:p>
    <w:p>
      <w:pPr>
        <w:pStyle w:val="Tretekstu"/>
        <w:rPr/>
      </w:pPr>
      <w:r>
        <w:rPr>
          <w:rFonts w:ascii="Calibri" w:hAnsi="Calibri"/>
          <w:szCs w:val="20"/>
        </w:rPr>
        <w:t>Projektuje się Przeciwpożarowy Wyłącznik Prądu wyłączający wszystkie odbiory podstawowe za  wyjątkiem ewentualnych urządzeń przeciwpożarowych biorących udział w akcji pożarowej. Przyciski wyzwalające przeciwpożarowe wyłączniki prądu zlokalizowane będą na parterze przy wejściach głównych do budynku. Należy zainstalować przycisk pożarowy zamknięty w obudowie, z drzwiczkami przeszklonymi z wyraźnym opisem: „Przeciwpożarowy Wyłącznik Prądu”. Przycisk łączyć z rozdzielnicą za pomocą przewodu ognioodpornego w systemie E90. Wszystkie kable w tej instalacji będą o wymaganej odporności ogniowej zapewniającej podtrzymanie funkcji w czasie pożaru.</w:t>
      </w:r>
    </w:p>
    <w:p>
      <w:pPr>
        <w:pStyle w:val="Tretekstu"/>
        <w:rPr/>
      </w:pPr>
      <w:r>
        <w:rPr>
          <w:rFonts w:ascii="Calibri" w:hAnsi="Calibri"/>
          <w:szCs w:val="20"/>
        </w:rPr>
        <w:t>W budynku projektuje się awaryjne oświetlenie. Oświetlenie awaryjne projektuje się zgodnie z normami: PN-EN 1838 oraz PN-EN 50172.</w:t>
      </w:r>
    </w:p>
    <w:p>
      <w:pPr>
        <w:pStyle w:val="Tretekstu"/>
        <w:rPr/>
      </w:pPr>
      <w:r>
        <w:rPr>
          <w:rFonts w:ascii="Calibri" w:hAnsi="Calibri"/>
          <w:szCs w:val="20"/>
        </w:rPr>
        <w:t>Wszelkie przejścia kablowe pomiędzy strefami pożarowymi należy uszczelniać masą ogniotrwałą. Uszczelnienia te powinny mieć odporność taką samą jak oddzielenia pożarowe.</w:t>
      </w:r>
    </w:p>
    <w:p>
      <w:pPr>
        <w:pStyle w:val="Tretekstu"/>
        <w:jc w:val="left"/>
        <w:rPr/>
      </w:pPr>
      <w:r>
        <w:rPr/>
      </w:r>
    </w:p>
    <w:p>
      <w:pPr>
        <w:pStyle w:val="Nagwek2"/>
        <w:rPr/>
      </w:pPr>
      <w:bookmarkStart w:id="53" w:name="__RefHeading___Toc4861_1300367101"/>
      <w:bookmarkEnd w:id="53"/>
      <w:r>
        <w:rPr/>
        <w:t>SPRAWDZENIA</w:t>
      </w:r>
    </w:p>
    <w:p>
      <w:pPr>
        <w:pStyle w:val="Tretekstu"/>
        <w:rPr>
          <w:rFonts w:ascii="Calibri" w:hAnsi="Calibri"/>
        </w:rPr>
      </w:pPr>
      <w:bookmarkStart w:id="54" w:name="__RefHeading___Toc1279_1293844344"/>
      <w:bookmarkEnd w:id="54"/>
      <w:r>
        <w:rPr>
          <w:rFonts w:ascii="Calibri" w:hAnsi="Calibri"/>
        </w:rPr>
        <w:t>Projekt został zweryfikowany przez osobę sprawdzającą posiadającą uprawnienia do projektowania bez ograniczeń w specjalności architektonicznej oraz przez rzeczoznawców ds. p.poż. i sanit.-hig.</w:t>
      </w:r>
    </w:p>
    <w:p>
      <w:pPr>
        <w:pStyle w:val="Tretekstu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agwek2"/>
        <w:rPr/>
      </w:pPr>
      <w:bookmarkStart w:id="55" w:name="__RefHeading___Toc1281_1293844344"/>
      <w:bookmarkEnd w:id="55"/>
      <w:r>
        <w:rPr/>
        <w:t>UWAGI KOŃCOWE</w:t>
      </w:r>
    </w:p>
    <w:p>
      <w:pPr>
        <w:pStyle w:val="Tretekstu"/>
        <w:spacing w:before="114" w:after="227"/>
        <w:rPr>
          <w:rFonts w:ascii="Calibri" w:hAnsi="Calibri"/>
        </w:rPr>
      </w:pPr>
      <w:r>
        <w:rPr>
          <w:rFonts w:ascii="Calibri" w:hAnsi="Calibri"/>
          <w:szCs w:val="20"/>
        </w:rPr>
        <w:t xml:space="preserve">• </w:t>
      </w:r>
      <w:r>
        <w:rPr>
          <w:rFonts w:cs="Calibri" w:ascii="Calibri" w:hAnsi="Calibri"/>
          <w:szCs w:val="20"/>
        </w:rPr>
        <w:t>Wszystkie prace budowlane należy wykonać zgodnie z „Warunkami technicznymi wykonania i odbioru robót budowlano-montażowych", zasadami sztuki budowlanej i z przepisami BHP przez odpowiednio kwalifikowanych pracowników, pod stałym nadzorem technicznym.</w:t>
      </w:r>
    </w:p>
    <w:p>
      <w:pPr>
        <w:pStyle w:val="Tretekstu"/>
        <w:spacing w:before="114" w:after="227"/>
        <w:rPr>
          <w:rFonts w:ascii="Calibri" w:hAnsi="Calibri"/>
        </w:rPr>
      </w:pPr>
      <w:r>
        <w:rPr>
          <w:rFonts w:cs="Calibri" w:ascii="Calibri" w:hAnsi="Calibri"/>
          <w:szCs w:val="20"/>
        </w:rPr>
        <w:t xml:space="preserve">• </w:t>
      </w:r>
      <w:r>
        <w:rPr>
          <w:rFonts w:cs="Calibri" w:ascii="Calibri" w:hAnsi="Calibri"/>
          <w:szCs w:val="20"/>
        </w:rPr>
        <w:t>Poziomy posadzek należy zweryfikować i precyzyjnie wytyczyć geodezyjnie na etapie wykonawczym, odchyłki od projektu należy konsultować z projektantem.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• </w:t>
      </w:r>
      <w:r>
        <w:rPr>
          <w:rFonts w:cs="Calibri" w:ascii="Calibri" w:hAnsi="Calibri"/>
          <w:szCs w:val="20"/>
        </w:rPr>
        <w:t>Wszelkie elementy stolarki okiennej i drzwiowej, fasad, okładzin elewacyjnych, balustrad należy zamówić w oparciu o zweryfikowane gabaryty otworów.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• </w:t>
      </w:r>
      <w:r>
        <w:rPr>
          <w:rFonts w:cs="Calibri" w:ascii="Calibri" w:hAnsi="Calibri"/>
          <w:szCs w:val="20"/>
        </w:rPr>
        <w:t>Dopuszcza się zastosowanie materiałów zamiennych pod warunkiem zastosowania ich nie gorszej jakości jedynie za zgodą projektanta.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• </w:t>
      </w:r>
      <w:r>
        <w:rPr>
          <w:rFonts w:cs="Calibri" w:ascii="Calibri" w:hAnsi="Calibri"/>
          <w:szCs w:val="20"/>
        </w:rPr>
        <w:t>Materiały budowlane oraz elementy prefabrykowane winny odpowiadać atestom technicznym oraz ustaleniom Norm Polskich.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Wszelkie wątpliwości powstałe podczas zapoznawania się z dokumentacją, jak i w czasie realizacji należy wyjaśnić z autorami projektu.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Projekt architektoniczny należy rozpatrywać równocześnie z opracowaniami branżowymi.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Jakiekolwiek zmiany w projekcie dozwolone są jedynie za zgodą autorów.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Wszystkie zastosowane materiały montować zgodnie z zaleceniami i wytycznymi producenta.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W ścianach attykowych wykonać przelewy awaryjne wg projektu wykonawczego.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 xml:space="preserve">Ostateczny dobór kolorystyki materiałów elewacyjnych i elementów wykończenia wewnętrznego musi uzyskać akceptację Głównego Projektanta. 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Wymiary otworów okiennych i drzwiowych oraz wysokość parapetu zostały podane w świetle surowych ścian.</w:t>
      </w:r>
    </w:p>
    <w:p>
      <w:pPr>
        <w:pStyle w:val="Tretekstu"/>
        <w:spacing w:before="0" w:after="56"/>
        <w:rPr>
          <w:rFonts w:ascii="Calibri" w:hAnsi="Calibri" w:cs="Calibri"/>
          <w:szCs w:val="20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Stolarka okienna musi mieć zapewnioną mikrowentylację.</w:t>
      </w:r>
    </w:p>
    <w:p>
      <w:pPr>
        <w:pStyle w:val="Tretekstu"/>
        <w:spacing w:before="114" w:after="227"/>
        <w:rPr>
          <w:rFonts w:ascii="Calibri" w:hAnsi="Calibri"/>
        </w:rPr>
      </w:pPr>
      <w:r>
        <w:rPr>
          <w:rFonts w:cs="Calibri" w:ascii="Calibri" w:hAnsi="Calibri"/>
          <w:szCs w:val="20"/>
        </w:rPr>
        <w:t xml:space="preserve"> • </w:t>
      </w:r>
      <w:r>
        <w:rPr>
          <w:rFonts w:cs="Calibri" w:ascii="Calibri" w:hAnsi="Calibri"/>
          <w:szCs w:val="20"/>
        </w:rPr>
        <w:t>Powierzchnie pomieszczeń zostały obliczone zgodnie z normą PN-ISO 9836:1997</w:t>
      </w:r>
    </w:p>
    <w:p>
      <w:pPr>
        <w:pStyle w:val="Normal"/>
        <w:jc w:val="right"/>
        <w:rPr>
          <w:sz w:val="20"/>
          <w:szCs w:val="20"/>
        </w:rPr>
      </w:pPr>
      <w:r>
        <w:rPr/>
      </w:r>
    </w:p>
    <w:p>
      <w:pPr>
        <w:pStyle w:val="Normal"/>
        <w:jc w:val="right"/>
        <w:rPr>
          <w:sz w:val="20"/>
          <w:szCs w:val="20"/>
        </w:rPr>
      </w:pPr>
      <w:r>
        <w:rPr>
          <w:b/>
          <w:sz w:val="20"/>
          <w:szCs w:val="20"/>
        </w:rPr>
        <w:t>Opracowała:</w:t>
      </w:r>
    </w:p>
    <w:p>
      <w:pPr>
        <w:pStyle w:val="Normal"/>
        <w:shd w:val="clear" w:color="auto" w:fill="FFFFFF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</w:r>
    </w:p>
    <w:p>
      <w:pPr>
        <w:pStyle w:val="Normal"/>
        <w:shd w:val="clear" w:color="auto" w:fill="FFFFFF"/>
        <w:jc w:val="right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</w:r>
    </w:p>
    <w:p>
      <w:pPr>
        <w:pStyle w:val="Normal"/>
        <w:shd w:val="clear" w:color="auto" w:fill="FFFFFF"/>
        <w:jc w:val="right"/>
        <w:rPr>
          <w:sz w:val="20"/>
          <w:szCs w:val="20"/>
        </w:rPr>
      </w:pPr>
      <w:r>
        <w:rPr>
          <w:spacing w:val="-4"/>
          <w:sz w:val="20"/>
          <w:szCs w:val="20"/>
        </w:rPr>
        <w:t>mgr inż. arch. Joanna Marta Mazepa</w:t>
      </w:r>
    </w:p>
    <w:p>
      <w:pPr>
        <w:pStyle w:val="Normal"/>
        <w:shd w:val="clear" w:color="auto" w:fill="FFFFFF"/>
        <w:jc w:val="right"/>
        <w:rPr>
          <w:sz w:val="20"/>
          <w:szCs w:val="20"/>
        </w:rPr>
      </w:pPr>
      <w:r>
        <w:rPr>
          <w:spacing w:val="-4"/>
          <w:sz w:val="20"/>
          <w:szCs w:val="20"/>
        </w:rPr>
        <w:tab/>
        <w:tab/>
        <w:tab/>
        <w:tab/>
        <w:tab/>
        <w:tab/>
        <w:tab/>
        <w:tab/>
        <w:t xml:space="preserve">     upr. bud. nr 10/WPOKK/2012</w:t>
      </w:r>
    </w:p>
    <w:p>
      <w:pPr>
        <w:pStyle w:val="Normal"/>
        <w:shd w:val="clear" w:color="auto" w:fill="FFFFFF"/>
        <w:spacing w:before="0" w:after="113"/>
        <w:jc w:val="right"/>
        <w:rPr>
          <w:sz w:val="20"/>
          <w:szCs w:val="20"/>
        </w:rPr>
      </w:pPr>
      <w:r>
        <w:rPr>
          <w:spacing w:val="-4"/>
          <w:sz w:val="20"/>
          <w:szCs w:val="20"/>
        </w:rPr>
        <w:tab/>
        <w:tab/>
        <w:tab/>
        <w:tab/>
        <w:tab/>
        <w:tab/>
        <w:tab/>
        <w:tab/>
        <w:tab/>
        <w:t>do proj. w spec. arch. b/o</w:t>
      </w:r>
    </w:p>
    <w:p>
      <w:pPr>
        <w:pStyle w:val="Normal"/>
        <w:shd w:val="clear" w:color="auto" w:fill="FFFFFF"/>
        <w:spacing w:before="0" w:after="113"/>
        <w:jc w:val="right"/>
        <w:rPr/>
      </w:pPr>
      <w:r>
        <w:rPr/>
      </w:r>
    </w:p>
    <w:p>
      <w:pPr>
        <w:pStyle w:val="Nagwek2"/>
        <w:rPr/>
      </w:pPr>
      <w:bookmarkStart w:id="56" w:name="__RefHeading___Toc10176_1639221441"/>
      <w:bookmarkEnd w:id="56"/>
      <w:r>
        <w:rPr/>
        <w:t xml:space="preserve">WARUNKI OCHRONY PRZECIWPOŻAROWEJ projektu zagospodarowania działki lub terenu </w:t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shd w:val="clear" w:color="auto" w:fill="FFFFFF"/>
        <w:jc w:val="right"/>
        <w:rPr/>
      </w:pPr>
      <w:r>
        <w:rPr/>
      </w:r>
    </w:p>
    <w:p>
      <w:pPr>
        <w:pStyle w:val="Normal"/>
        <w:shd w:val="clear" w:color="auto" w:fill="FFFFFF"/>
        <w:jc w:val="right"/>
        <w:rPr/>
      </w:pPr>
      <w:r>
        <w:rPr/>
      </w:r>
    </w:p>
    <w:p>
      <w:pPr>
        <w:pStyle w:val="Normal"/>
        <w:shd w:val="clear" w:color="auto" w:fill="FFFFFF"/>
        <w:tabs>
          <w:tab w:val="clear" w:pos="720"/>
          <w:tab w:val="left" w:pos="283" w:leader="none"/>
          <w:tab w:val="left" w:pos="567" w:leader="none"/>
          <w:tab w:val="left" w:pos="850" w:leader="none"/>
          <w:tab w:val="left" w:pos="1134" w:leader="none"/>
          <w:tab w:val="left" w:pos="1417" w:leader="none"/>
        </w:tabs>
        <w:jc w:val="right"/>
        <w:rPr/>
      </w:pPr>
      <w:r>
        <w:rPr/>
      </w:r>
      <w:r>
        <w:br w:type="page"/>
      </w:r>
    </w:p>
    <w:p>
      <w:pPr>
        <w:pStyle w:val="Nagwek1"/>
        <w:rPr/>
      </w:pPr>
      <w:bookmarkStart w:id="57" w:name="__RefHeading___Toc9136_691895806"/>
      <w:bookmarkEnd w:id="57"/>
      <w:r>
        <w:rPr/>
        <w:t>II. CZĘŚĆ RYSUNKOWA</w:t>
      </w:r>
    </w:p>
    <w:p>
      <w:pPr>
        <w:pStyle w:val="Tretekstu"/>
        <w:rPr>
          <w:rFonts w:ascii="Calibri" w:hAnsi="Calibri"/>
          <w:spacing w:val="-4"/>
          <w:sz w:val="18"/>
        </w:rPr>
      </w:pPr>
      <w:r>
        <w:rPr>
          <w:rFonts w:ascii="Calibri" w:hAnsi="Calibri"/>
          <w:spacing w:val="-4"/>
          <w:sz w:val="18"/>
        </w:rPr>
      </w:r>
    </w:p>
    <w:p>
      <w:pPr>
        <w:pStyle w:val="Tretekstu"/>
        <w:rPr>
          <w:rFonts w:ascii="Calibri" w:hAnsi="Calibri"/>
          <w:spacing w:val="-4"/>
          <w:sz w:val="18"/>
        </w:rPr>
      </w:pPr>
      <w:r>
        <w:rPr>
          <w:rFonts w:ascii="Calibri" w:hAnsi="Calibri"/>
          <w:spacing w:val="-4"/>
          <w:sz w:val="18"/>
        </w:rPr>
      </w:r>
    </w:p>
    <w:tbl>
      <w:tblPr>
        <w:tblW w:w="6591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032"/>
        <w:gridCol w:w="5558"/>
      </w:tblGrid>
      <w:tr>
        <w:trPr>
          <w:trHeight w:val="256" w:hRule="atLeast"/>
        </w:trPr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PB_PZT_01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PROJEKT ZAGOSPODAROWANIA TERENU</w:t>
            </w:r>
          </w:p>
        </w:tc>
      </w:tr>
      <w:tr>
        <w:trPr>
          <w:trHeight w:val="256" w:hRule="atLeast"/>
        </w:trPr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PB_PZT_02</w:t>
            </w:r>
          </w:p>
        </w:tc>
        <w:tc>
          <w:tcPr>
            <w:tcW w:w="5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PLANSZA KOORDYNACJI INSTALACJI ZEWNĘTRZNYCH</w:t>
            </w:r>
          </w:p>
        </w:tc>
      </w:tr>
      <w:tr>
        <w:trPr>
          <w:trHeight w:val="256" w:hRule="atLeast"/>
        </w:trPr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PB_PZT_03</w:t>
            </w:r>
          </w:p>
        </w:tc>
        <w:tc>
          <w:tcPr>
            <w:tcW w:w="5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WIATA ŚMIETNIKOWA</w:t>
            </w:r>
            <w:bookmarkStart w:id="58" w:name="_GoBack"/>
            <w:bookmarkEnd w:id="58"/>
          </w:p>
        </w:tc>
      </w:tr>
      <w:tr>
        <w:trPr>
          <w:trHeight w:val="256" w:hRule="atLeast"/>
        </w:trPr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PB_PZT_0</w:t>
            </w:r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4</w:t>
            </w:r>
          </w:p>
        </w:tc>
        <w:tc>
          <w:tcPr>
            <w:tcW w:w="5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Tretekstu"/>
              <w:widowControl w:val="false"/>
              <w:spacing w:lineRule="auto" w:line="276" w:before="0" w:after="113"/>
              <w:rPr>
                <w:rFonts w:ascii="Calibri" w:hAnsi="Calibri" w:eastAsia="NSimSun" w:cs="Arial"/>
                <w:color w:val="auto"/>
                <w:kern w:val="2"/>
                <w:sz w:val="20"/>
                <w:szCs w:val="18"/>
                <w:lang w:val="pl-PL" w:eastAsia="zh-CN" w:bidi="hi-IN"/>
              </w:rPr>
            </w:pPr>
            <w:bookmarkStart w:id="59" w:name="_GoBack1"/>
            <w:bookmarkEnd w:id="59"/>
            <w:r>
              <w:rPr>
                <w:rFonts w:eastAsia="NSimSun" w:cs="Arial" w:ascii="Calibri" w:hAnsi="Calibri"/>
                <w:color w:val="auto"/>
                <w:kern w:val="2"/>
                <w:sz w:val="20"/>
                <w:szCs w:val="18"/>
                <w:lang w:val="pl-PL" w:eastAsia="zh-CN" w:bidi="hi-IN"/>
              </w:rPr>
              <w:t>SCHEMAT ZBIORNIKA P.POŻ.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1134" w:footer="1134" w:bottom="1637" w:gutter="0"/>
      <w:pgNumType w:fmt="decimal"/>
      <w:formProt w:val="false"/>
      <w:textDirection w:val="lrTb"/>
      <w:docGrid w:type="default" w:linePitch="10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18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Nagwek2"/>
      <w:numFmt w:val="decimal"/>
      <w:suff w:val="space"/>
      <w:lvlText w:val=" %2 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decimal"/>
      <w:suff w:val="space"/>
      <w:lvlText w:val=" %2.%3 "/>
      <w:lvlJc w:val="left"/>
      <w:pPr>
        <w:tabs>
          <w:tab w:val="num" w:pos="0"/>
        </w:tabs>
        <w:ind w:left="0" w:firstLine="227"/>
      </w:pPr>
    </w:lvl>
    <w:lvl w:ilvl="3">
      <w:start w:val="1"/>
      <w:pStyle w:val="Nagwek4"/>
      <w:numFmt w:val="decimal"/>
      <w:suff w:val="space"/>
      <w:lvlText w:val=" %2.%3.%4 "/>
      <w:lvlJc w:val="left"/>
      <w:pPr>
        <w:tabs>
          <w:tab w:val="num" w:pos="0"/>
        </w:tabs>
        <w:ind w:left="0" w:firstLine="454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13" w:hanging="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814"/>
        </w:tabs>
        <w:ind w:left="81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040"/>
        </w:tabs>
        <w:ind w:left="104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Arial"/>
      <w:color w:val="auto"/>
      <w:kern w:val="2"/>
      <w:sz w:val="18"/>
      <w:szCs w:val="18"/>
      <w:lang w:val="pl-PL" w:eastAsia="zh-CN" w:bidi="hi-IN"/>
    </w:rPr>
  </w:style>
  <w:style w:type="paragraph" w:styleId="Nagwek1">
    <w:name w:val="Heading 1"/>
    <w:basedOn w:val="Gwka"/>
    <w:next w:val="Tretekstu"/>
    <w:qFormat/>
    <w:pPr>
      <w:numPr>
        <w:ilvl w:val="0"/>
        <w:numId w:val="1"/>
      </w:numPr>
      <w:spacing w:before="227" w:after="113"/>
      <w:jc w:val="center"/>
      <w:outlineLvl w:val="0"/>
    </w:pPr>
    <w:rPr>
      <w:rFonts w:ascii="Calibri" w:hAnsi="Calibri"/>
      <w:b/>
      <w:bCs/>
      <w:sz w:val="32"/>
      <w:szCs w:val="32"/>
    </w:rPr>
  </w:style>
  <w:style w:type="paragraph" w:styleId="Nagwek2">
    <w:name w:val="Heading 2"/>
    <w:basedOn w:val="Gwka"/>
    <w:next w:val="Tretekstu"/>
    <w:qFormat/>
    <w:pPr>
      <w:numPr>
        <w:ilvl w:val="1"/>
        <w:numId w:val="1"/>
      </w:numPr>
      <w:spacing w:before="113" w:after="113"/>
      <w:outlineLvl w:val="1"/>
    </w:pPr>
    <w:rPr>
      <w:rFonts w:ascii="Calibri" w:hAnsi="Calibri"/>
      <w:b/>
      <w:bCs/>
      <w:sz w:val="24"/>
      <w:szCs w:val="24"/>
    </w:rPr>
  </w:style>
  <w:style w:type="paragraph" w:styleId="Nagwek3">
    <w:name w:val="Heading 3"/>
    <w:basedOn w:val="Gwka"/>
    <w:next w:val="Tretekstu"/>
    <w:qFormat/>
    <w:pPr>
      <w:numPr>
        <w:ilvl w:val="2"/>
        <w:numId w:val="1"/>
      </w:numPr>
      <w:spacing w:before="113" w:after="113"/>
      <w:outlineLvl w:val="2"/>
    </w:pPr>
    <w:rPr>
      <w:rFonts w:ascii="Calibri" w:hAnsi="Calibri"/>
      <w:b/>
      <w:bCs/>
      <w:sz w:val="22"/>
      <w:szCs w:val="20"/>
    </w:rPr>
  </w:style>
  <w:style w:type="paragraph" w:styleId="Nagwek4">
    <w:name w:val="Heading 4"/>
    <w:basedOn w:val="Gwka"/>
    <w:next w:val="Tretekstu"/>
    <w:qFormat/>
    <w:pPr>
      <w:numPr>
        <w:ilvl w:val="3"/>
        <w:numId w:val="1"/>
      </w:numPr>
      <w:spacing w:before="113" w:after="113"/>
      <w:outlineLvl w:val="3"/>
    </w:pPr>
    <w:rPr>
      <w:rFonts w:ascii="Calibri" w:hAnsi="Calibri"/>
      <w:b/>
      <w:bCs/>
      <w:iCs/>
      <w:sz w:val="20"/>
      <w:szCs w:val="18"/>
    </w:rPr>
  </w:style>
  <w:style w:type="paragraph" w:styleId="Nagwek5">
    <w:name w:val="Heading 5"/>
    <w:basedOn w:val="Gwka"/>
    <w:next w:val="Tretekstu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Czeindeksu" w:customStyle="1">
    <w:name w:val="Łącze indeksu"/>
    <w:qFormat/>
    <w:rPr/>
  </w:style>
  <w:style w:type="character" w:styleId="WW8Num3z0" w:customStyle="1">
    <w:name w:val="WW8Num3z0"/>
    <w:qFormat/>
    <w:rPr>
      <w:sz w:val="16"/>
    </w:rPr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>
      <w:rFonts w:ascii="Arial" w:hAnsi="Arial" w:eastAsia="Arial" w:cs="Arial"/>
      <w:b/>
      <w:sz w:val="24"/>
    </w:rPr>
  </w:style>
  <w:style w:type="character" w:styleId="WW8Num8z0" w:customStyle="1">
    <w:name w:val="WW8Num8z0"/>
    <w:qFormat/>
    <w:rPr>
      <w:rFonts w:ascii="Symbol" w:hAnsi="Symbol" w:eastAsia="Arial" w:cs="Symbol"/>
      <w:sz w:val="22"/>
      <w:szCs w:val="22"/>
    </w:rPr>
  </w:style>
  <w:style w:type="character" w:styleId="WW8Num9z0" w:customStyle="1">
    <w:name w:val="WW8Num9z0"/>
    <w:qFormat/>
    <w:rPr>
      <w:rFonts w:ascii="Symbol" w:hAnsi="Symbol" w:cs="Symbol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73ac7"/>
    <w:rPr>
      <w:rFonts w:ascii="Tahoma" w:hAnsi="Tahoma" w:cs="Mangal"/>
      <w:sz w:val="16"/>
      <w:szCs w:val="1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13"/>
      <w:jc w:val="both"/>
    </w:pPr>
    <w:rPr>
      <w:rFonts w:ascii="Calibri Light" w:hAnsi="Calibri Light"/>
      <w:sz w:val="20"/>
    </w:rPr>
  </w:style>
  <w:style w:type="paragraph" w:styleId="Lista">
    <w:name w:val="List"/>
    <w:basedOn w:val="Tretekstu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20"/>
        <w:tab w:val="center" w:pos="4677" w:leader="none"/>
        <w:tab w:val="right" w:pos="9355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basedOn w:val="Gwkaistopka"/>
    <w:pPr/>
    <w:rPr/>
  </w:style>
  <w:style w:type="paragraph" w:styleId="Tytu">
    <w:name w:val="Title"/>
    <w:basedOn w:val="Gwka"/>
    <w:next w:val="Tretekstu"/>
    <w:qFormat/>
    <w:pPr>
      <w:jc w:val="center"/>
    </w:pPr>
    <w:rPr>
      <w:b/>
      <w:bCs/>
      <w:sz w:val="56"/>
      <w:szCs w:val="56"/>
    </w:rPr>
  </w:style>
  <w:style w:type="paragraph" w:styleId="Zawartotabeli" w:customStyle="1">
    <w:name w:val="Zawartość tabeli"/>
    <w:basedOn w:val="Normal"/>
    <w:qFormat/>
    <w:pPr>
      <w:suppressLineNumbers/>
      <w:tabs>
        <w:tab w:val="clear" w:pos="720"/>
        <w:tab w:val="right" w:pos="9638" w:leader="dot"/>
      </w:tabs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qFormat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pistreci1">
    <w:name w:val="TOC 1"/>
    <w:basedOn w:val="Indeks"/>
    <w:pPr>
      <w:tabs>
        <w:tab w:val="clear" w:pos="720"/>
        <w:tab w:val="right" w:pos="9355" w:leader="dot"/>
      </w:tabs>
    </w:pPr>
    <w:rPr/>
  </w:style>
  <w:style w:type="paragraph" w:styleId="Spistreci2">
    <w:name w:val="TOC 2"/>
    <w:basedOn w:val="Indeks"/>
    <w:pPr>
      <w:tabs>
        <w:tab w:val="clear" w:pos="720"/>
        <w:tab w:val="right" w:pos="9072" w:leader="dot"/>
      </w:tabs>
      <w:ind w:left="283" w:hanging="0"/>
    </w:pPr>
    <w:rPr/>
  </w:style>
  <w:style w:type="paragraph" w:styleId="Spistreci3">
    <w:name w:val="TOC 3"/>
    <w:basedOn w:val="Indeks"/>
    <w:pPr>
      <w:tabs>
        <w:tab w:val="clear" w:pos="720"/>
        <w:tab w:val="right" w:pos="8789" w:leader="dot"/>
      </w:tabs>
      <w:ind w:left="566" w:hanging="0"/>
    </w:pPr>
    <w:rPr/>
  </w:style>
  <w:style w:type="paragraph" w:styleId="Spistreci4">
    <w:name w:val="TOC 4"/>
    <w:basedOn w:val="Indeks"/>
    <w:pPr>
      <w:tabs>
        <w:tab w:val="clear" w:pos="720"/>
        <w:tab w:val="right" w:pos="8506" w:leader="dot"/>
      </w:tabs>
      <w:ind w:left="849" w:hanging="0"/>
    </w:pPr>
    <w:rPr/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WWTekstpodstawowy2" w:customStyle="1">
    <w:name w:val="WW-Tekst podstawowy 2"/>
    <w:basedOn w:val="Normal"/>
    <w:qFormat/>
    <w:pPr/>
    <w:rPr>
      <w:sz w:val="28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73ac7"/>
    <w:pPr/>
    <w:rPr>
      <w:rFonts w:ascii="Tahoma" w:hAnsi="Tahoma" w:cs="Mangal"/>
      <w:sz w:val="16"/>
      <w:szCs w:val="14"/>
    </w:rPr>
  </w:style>
  <w:style w:type="paragraph" w:styleId="Nagwekindeksu">
    <w:name w:val="Index Heading"/>
    <w:basedOn w:val="Nagwek"/>
    <w:pPr>
      <w:suppressLineNumbers/>
      <w:ind w:left="0" w:hanging="0"/>
    </w:pPr>
    <w:rPr>
      <w:b/>
      <w:bCs/>
      <w:sz w:val="32"/>
      <w:szCs w:val="32"/>
    </w:rPr>
  </w:style>
  <w:style w:type="paragraph" w:styleId="TOAHeading1">
    <w:name w:val="TOA Heading"/>
    <w:basedOn w:val="Nagwekindeksu"/>
    <w:qFormat/>
    <w:pPr>
      <w:suppressLineNumbers/>
      <w:ind w:left="0" w:hanging="0"/>
    </w:pPr>
    <w:rPr>
      <w:b/>
      <w:bCs/>
      <w:sz w:val="32"/>
      <w:szCs w:val="32"/>
    </w:rPr>
  </w:style>
  <w:style w:type="paragraph" w:styleId="Nagwekspisutreci">
    <w:name w:val="TOA Heading"/>
    <w:basedOn w:val="Nagwekindeksu"/>
    <w:pPr>
      <w:suppressLineNumbers/>
      <w:ind w:left="0" w:hanging="0"/>
    </w:pPr>
    <w:rPr>
      <w:b/>
      <w:bCs/>
      <w:sz w:val="32"/>
      <w:szCs w:val="32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Numeracja123" w:customStyle="1">
    <w:name w:val="Numeracja 12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Application>LibreOffice/7.0.4.2$Windows_X86_64 LibreOffice_project/dcf040e67528d9187c66b2379df5ea4407429775</Application>
  <AppVersion>15.0000</AppVersion>
  <Pages>18</Pages>
  <Words>6310</Words>
  <Characters>42921</Characters>
  <CharactersWithSpaces>49051</CharactersWithSpaces>
  <Paragraphs>565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2023-03-13T14:47:00Z</dcterms:created>
  <dc:creator/>
  <dc:description/>
  <dc:language>pl-PL</dc:language>
  <cp:lastModifiedBy/>
  <cp:lastPrinted>2023-07-06T12:00:53Z</cp:lastPrinted>
  <dcterms:modified xsi:type="dcterms:W3CDTF">2023-07-06T12:01:22Z</dcterms:modified>
  <cp:revision>151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